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I²=87.8% (L2 within=76.1%, L3 between=11.8%). ICRV Q_M(4)=17.35 (p=.002) omnibus có ý nghĩa nhưng KHÔNG bền vững — bỏ ô Frontier (k=3) → Q_M(3)=1.49 (p=.68) NS;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Management Review Quarterly</w:t>
      </w:r>
      <w:r>
        <w:t xml:space="preserve"> </w:t>
      </w:r>
      <w:r>
        <w:t xml:space="preserve">(Springer, Scopus Q1; đổi từ IBR 2026-05-27) — chấp nhận baseline k=238, độ dài linh hoạt.</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trên phạm vi toàn cầu;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Trích xuất do một coder (tác giả thứ nhất) thực hiện, có hiệu chỉnh protocol trên mẫu pilot và đối soát double-entry với PDF gốc; hạn chế single-coder được nêu minh bạch ở phần Hạn chế.</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87.8</m:t>
        </m:r>
        <m:r>
          <m:rPr>
            <m:sty m:val="p"/>
          </m:rPr>
          <m:t>%</m:t>
        </m:r>
      </m:oMath>
      <w:r>
        <w:t xml:space="preserve">) chủ yếu nằm ở trong-nghiên-cứu L2 (76.1%) hơn là giữa-nghiên-cứu L3 (11.8%),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trên toàn mẫu nhưng KHÔNG bền vững: toàn bộ ý nghĩa do ô Frontier nhỏ (k=3) tạo ra, và kiểm định nhạy cảm bỏ ô này trên 4 regime đông dữ liệu (I/II/III/MX) đưa omnibus về không có ý nghĩa (</w:t>
      </w:r>
      <m:oMath>
        <m:sSub>
          <m:e>
            <m:r>
              <m:t>Q</m:t>
            </m:r>
          </m:e>
          <m:sub>
            <m:r>
              <m:t>M</m:t>
            </m:r>
          </m:sub>
        </m:sSub>
        <m:r>
          <m:rPr>
            <m:sty m:val="p"/>
          </m:rPr>
          <m:t>=</m:t>
        </m:r>
        <m:r>
          <m:t>1.49</m:t>
        </m:r>
      </m:oMath>
      <w:r>
        <w:t xml:space="preserve">,</w:t>
      </w:r>
      <w:r>
        <w:t xml:space="preserve"> </w:t>
      </w:r>
      <m:oMath>
        <m:r>
          <m:t>d</m:t>
        </m:r>
        <m:r>
          <m:t>f</m:t>
        </m:r>
        <m:r>
          <m:rPr>
            <m:sty m:val="p"/>
          </m:rPr>
          <m:t>=</m:t>
        </m:r>
        <m:r>
          <m:t>3</m:t>
        </m:r>
      </m:oMath>
      <w:r>
        <w:t xml:space="preserve">,</w:t>
      </w:r>
      <w:r>
        <w:t xml:space="preserve"> </w:t>
      </w:r>
      <m:oMath>
        <m:r>
          <m:t>p</m:t>
        </m:r>
        <m:r>
          <m:rPr>
            <m:sty m:val="p"/>
          </m:rPr>
          <m:t>=</m:t>
        </m:r>
        <m:r>
          <m:t>.68</m:t>
        </m:r>
      </m:oMath>
      <w:r>
        <w:t xml:space="preserve">) — ngang với cDAI/DPL; không có gradient đơn điệu E1a/E1b.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một corpus I→P đại diện toàn cầu,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w:t>
      </w:r>
      <w:r>
        <w:t xml:space="preserve"> </w:t>
      </w:r>
      <w:r>
        <w:t xml:space="preserve">chưa được mã hóa một cách hệ thống ở độ phân giải đủ tinh. Marano et al. (2016) phân tách home country institutions thành sáu nhóm tổng quát toàn cầu, nhưng chưa có meta nào áp dụng phân loại ICRV 6-regime (Institutional Context Regime Variation) cho một corpus I→P đại diện toàn cầu — corpus trải phổ thể chế rộng nhất,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a5f22aac61b7cb94e0330389c3a3ff0185a3aa2"/>
    <w:p>
      <w:pPr>
        <w:pStyle w:val="Heading3"/>
      </w:pPr>
      <w:r>
        <w:t xml:space="preserve">1.4 Gap 2: ICRV 6-regime chưa kiểm định trên corpus I→P toàn cầu</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một corpus I→P đại diện toàn cầu — corpus trải phổ thể chế rộng nhất. Doanh nghiệp từ Singapore (Regime I) vận hành theo logic hoàn toàn khác doanh nghiệp từ Afghanistan (Frontier).</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w:t>
      </w:r>
    </w:p>
    <w:p>
      <w:pPr>
        <w:pStyle w:val="BodyText"/>
      </w:pPr>
      <w:r>
        <w:rPr>
          <w:bCs/>
          <w:b/>
        </w:rPr>
        <w:t xml:space="preserve">Theoretical</w:t>
      </w:r>
      <w:r>
        <w:t xml:space="preserve">: (4) Kiểm định ICRV 6-regime đầu tiên áp dụng cho một corpus I→P đại diện toàn cầu (k=238, 49 nền kinh tế; 5/6 nhóm có dữ liệu)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I→P đại diện toàn cầu lớn nhất từ trước đến nay (49 nền kinh tế); (8) Subgroup analysis theo khung ICRV 6-regime — với 5 ô có dữ liệu (ô SIDS/Nhóm VI không có nghiên cứu đạt chuẩn) — phổ thể chế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áp dụng cho corpus I→P toàn cầu.</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áp dụng cho corpus I→P toàn cầu,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p>
      <w:pPr>
        <w:pStyle w:val="BodyText"/>
      </w:pPr>
      <w:r>
        <w:rPr>
          <w:bCs/>
          <w:b/>
        </w:rPr>
        <w:t xml:space="preserve">Sai lệch so với tiền đăng ký (PRISMA 2020, Item 24c)</w:t>
      </w:r>
      <w:r>
        <w:t xml:space="preserve">: Bản tiền đăng ký (§8.3) cam kết double-code 20% mẫu với hai coder độc lập, target Cohen’s</w:t>
      </w:r>
      <w:r>
        <w:t xml:space="preserve"> </w:t>
      </w:r>
      <m:oMath>
        <m:r>
          <m:t>κ</m:t>
        </m:r>
        <m:r>
          <m:rPr>
            <m:sty m:val="p"/>
          </m:rPr>
          <m:t>≥</m:t>
        </m:r>
        <m:r>
          <m:t>0.70</m:t>
        </m:r>
      </m:oMath>
      <w:r>
        <w:t xml:space="preserve"> </w:t>
      </w:r>
      <w:r>
        <w:t xml:space="preserve">(categorical) và ICC</w:t>
      </w:r>
      <w:r>
        <w:t xml:space="preserve"> </w:t>
      </w:r>
      <m:oMath>
        <m:r>
          <m:rPr>
            <m:sty m:val="p"/>
          </m:rPr>
          <m:t>≥</m:t>
        </m:r>
        <m:r>
          <m:t>0.80</m:t>
        </m:r>
      </m:oMath>
      <w:r>
        <w:t xml:space="preserve"> </w:t>
      </w:r>
      <w:r>
        <w:t xml:space="preserve">(continuous). Trên thực tế không có coder thứ hai, nên toàn bộ trích xuất và mã hóa do một coder (tác giả thứ nhất) thực hiện. Do đó</w:t>
      </w:r>
      <w:r>
        <w:t xml:space="preserve"> </w:t>
      </w:r>
      <w:r>
        <w:rPr>
          <w:bCs/>
          <w:b/>
        </w:rPr>
        <w:t xml:space="preserve">không báo cáo</w:t>
      </w:r>
      <w:r>
        <w:t xml:space="preserve"> </w:t>
      </w:r>
      <w:r>
        <w:t xml:space="preserve">chỉ số inter-coder reliability; chất lượng mã hóa được bảo đảm bằng hiệu chỉnh protocol trên mẫu pilot và đối soát double-entry với PDF gốc (§3.7). Bản tiền đăng ký đông cứng trên OSF giữ nguyên cam kết gốc; sai lệch này được nêu minh bạch tại đây. Bổ sung double-coding để báo cáo κ là ưu tiên cho đợt formal-search mở rộng.</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Chất lượng mã hóa</w:t>
      </w:r>
      <w:r>
        <w:t xml:space="preserve">: Trích xuất và mã hóa moderator do một coder (tác giả thứ nhất) thực hiện theo protocol Phụ lục B, có hiệu chỉnh trên mẫu pilot 10 studies và đối soát double-entry (nhập lại</w:t>
      </w:r>
      <w:r>
        <w:t xml:space="preserve"> </w:t>
      </w:r>
      <w:r>
        <w:rPr>
          <w:rStyle w:val="VerbatimChar"/>
        </w:rPr>
        <w:t xml:space="preserve">r</w:t>
      </w:r>
      <w:r>
        <w:t xml:space="preserve">,</w:t>
      </w:r>
      <w:r>
        <w:t xml:space="preserve"> </w:t>
      </w:r>
      <w:r>
        <w:rPr>
          <w:rStyle w:val="VerbatimChar"/>
        </w:rPr>
        <w:t xml:space="preserve">n</w:t>
      </w:r>
      <w:r>
        <w:t xml:space="preserve"> </w:t>
      </w:r>
      <w:r>
        <w:t xml:space="preserve">và mã moderator, so với PDF gốc). Do single-coder nên không tính được Cohen’s</w:t>
      </w:r>
      <w:r>
        <w:t xml:space="preserve"> </w:t>
      </w:r>
      <m:oMath>
        <m:r>
          <m:t>κ</m:t>
        </m:r>
      </m:oMath>
      <w:r>
        <w:t xml:space="preserve">; hạn chế này nêu ở phần Hạn chế (xem §3.7).</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Xdd7158d48628566e0ddf11a4e50a81df18f5d49"/>
    <w:p>
      <w:pPr>
        <w:pStyle w:val="Heading3"/>
      </w:pPr>
      <w:r>
        <w:t xml:space="preserve">3.7 Chất lượng mã hóa và hạn chế single-coder</w:t>
      </w:r>
    </w:p>
    <w:p>
      <w:pPr>
        <w:pStyle w:val="FirstParagraph"/>
      </w:pPr>
      <w:r>
        <w:rPr>
          <w:bCs/>
          <w:b/>
        </w:rPr>
        <w:t xml:space="preserve">Quy trình</w:t>
      </w:r>
      <w:r>
        <w:t xml:space="preserve">: Toàn bộ trích xuất effect size và mã hóa moderator do một coder (tác giả thứ nhất) thực hiện theo protocol Phụ lục B. Để bảo đảm chất lượng: (i) hiệu chỉnh protocol trên mẫu pilot 10 studies, ghi lại các quy tắc quyết định khó trước khi trích xuất toàn bộ; (ii) đối soát double-entry — nhập lại</w:t>
      </w:r>
      <w:r>
        <w:t xml:space="preserve"> </w:t>
      </w:r>
      <w:r>
        <w:rPr>
          <w:rStyle w:val="VerbatimChar"/>
        </w:rPr>
        <w:t xml:space="preserve">r</w:t>
      </w:r>
      <w:r>
        <w:t xml:space="preserve">,</w:t>
      </w:r>
      <w:r>
        <w:t xml:space="preserve"> </w:t>
      </w:r>
      <w:r>
        <w:rPr>
          <w:rStyle w:val="VerbatimChar"/>
        </w:rPr>
        <w:t xml:space="preserve">n</w:t>
      </w:r>
      <w:r>
        <w:t xml:space="preserve"> </w:t>
      </w:r>
      <w:r>
        <w:t xml:space="preserve">và mã moderator rồi so với PDF gốc để bắt lỗi sao chép; (iii) các moderator neo vào bảng tham chiếu ngoài (ICRV từ WGI Rule of Law, cDAI từ WB/ITU, DPL từ năm dữ liệu trung vị) có thể tái lập máy móc từ giá trị nguồn, cho phép kiểm chứng độc lập.</w:t>
      </w:r>
    </w:p>
    <w:p>
      <w:pPr>
        <w:pStyle w:val="BodyText"/>
      </w:pPr>
      <w:r>
        <w:rPr>
          <w:bCs/>
          <w:b/>
        </w:rPr>
        <w:t xml:space="preserve">Hạn chế</w:t>
      </w:r>
      <w:r>
        <w:t xml:space="preserve">: Do chỉ có một coder, không tính được Cohen’s</w:t>
      </w:r>
      <w:r>
        <w:t xml:space="preserve"> </w:t>
      </w:r>
      <m:oMath>
        <m:r>
          <m:t>κ</m:t>
        </m:r>
      </m:oMath>
      <w:r>
        <w:t xml:space="preserve"> </w:t>
      </w:r>
      <w:r>
        <w:t xml:space="preserve">(κ đòi hỏi hai coder độc lập) và các quyết định mã hóa không được cross-validate. Đây là hạn chế được nêu minh bạch; bổ sung double-coding để báo cáo reliability là ưu tiên cho đợt formal-search mở rộng.</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1978–2026.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87.8</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76.1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11.8</m:t>
        </m:r>
        <m:r>
          <m:rPr>
            <m:sty m:val="p"/>
          </m:rPr>
          <m:t>%</m:t>
        </m:r>
      </m:oMath>
      <w:r>
        <w:t xml:space="preserve"> </w:t>
      </w:r>
      <w:r>
        <w:t xml:space="preserve">(Level 3, between-study);</w:t>
      </w:r>
      <w:r>
        <w:t xml:space="preserve"> </w:t>
      </w:r>
      <m:oMath>
        <m:sSup>
          <m:e>
            <m:r>
              <m:t>I</m:t>
            </m:r>
          </m:e>
          <m:sup>
            <m:r>
              <m:t>2</m:t>
            </m:r>
          </m:sup>
        </m:sSup>
      </m:oMath>
      <w:r>
        <w:t xml:space="preserve"> </w:t>
      </w:r>
      <w:r>
        <w:t xml:space="preserve">được tính theo ước lượng phương sai điển hình Higgins–Thompson cho mô hình đa cấp (đúng như</w:t>
      </w:r>
      <w:r>
        <w:t xml:space="preserve"> </w:t>
      </w:r>
      <w:r>
        <w:rPr>
          <w:rStyle w:val="VerbatimChar"/>
        </w:rPr>
        <w:t xml:space="preserve">metafor</w:t>
      </w:r>
      <w:r>
        <w:t xml:space="preserve"> </w:t>
      </w:r>
      <w:r>
        <w:t xml:space="preserve">mặc định).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trên toàn mẫu, nhưng KHÔNG bền vững. Toàn bộ ý nghĩa do ô Frontier nhỏ, hiệu ứng cao (k=3) tạo ra: kiểm định nhạy cảm bỏ ô Frontier, ước lượng lại trên 4 regime đông dữ liệu (I/II/III/MX, K=285), đưa moderation liên nhóm về</w:t>
      </w:r>
      <w:r>
        <w:t xml:space="preserve"> </w:t>
      </w:r>
      <m:oMath>
        <m:sSub>
          <m:e>
            <m:r>
              <m:t>Q</m:t>
            </m:r>
          </m:e>
          <m:sub>
            <m:r>
              <m:t>M</m:t>
            </m:r>
          </m:sub>
        </m:sSub>
        <m:r>
          <m:rPr>
            <m:sty m:val="p"/>
          </m:rPr>
          <m:t>=</m:t>
        </m:r>
        <m:r>
          <m:t>1.49</m:t>
        </m:r>
      </m:oMath>
      <w:r>
        <w:t xml:space="preserve"> </w:t>
      </w:r>
      <w:r>
        <w:t xml:space="preserve">(</w:t>
      </w:r>
      <m:oMath>
        <m:r>
          <m:t>d</m:t>
        </m:r>
        <m:r>
          <m:t>f</m:t>
        </m:r>
        <m:r>
          <m:rPr>
            <m:sty m:val="p"/>
          </m:rPr>
          <m:t>=</m:t>
        </m:r>
        <m:r>
          <m:t>3</m:t>
        </m:r>
      </m:oMath>
      <w:r>
        <w:t xml:space="preserve">,</w:t>
      </w:r>
      <w:r>
        <w:t xml:space="preserve"> </w:t>
      </w:r>
      <m:oMath>
        <m:r>
          <m:t>p</m:t>
        </m:r>
        <m:r>
          <m:rPr>
            <m:sty m:val="p"/>
          </m:rPr>
          <m:t>=</m:t>
        </m:r>
        <m:r>
          <m:t>.68</m:t>
        </m:r>
      </m:oMath>
      <w:r>
        <w:t xml:space="preserve">) — không có ý nghĩa và ngang bằng với cDAI/DPL. Sự khác biệt vì vậy KHÔNG hình thành một gradient đơn điệu theo chiều kỳ vọng E1a/E1b:</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moderation ICRV KHÔNG bền vững (bỏ ô FR → Q_M=1.49, p=.68, NS).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trên toàn mẫu (</w:t>
      </w:r>
      <m:oMath>
        <m:sSub>
          <m:e>
            <m:r>
              <m:t>Q</m:t>
            </m:r>
          </m:e>
          <m:sub>
            <m:r>
              <m:t>M</m:t>
            </m:r>
          </m:sub>
        </m:sSub>
        <m:r>
          <m:rPr>
            <m:sty m:val="p"/>
          </m:rPr>
          <m:t>=</m:t>
        </m:r>
        <m:r>
          <m:t>17.35</m:t>
        </m:r>
      </m:oMath>
      <w:r>
        <w:t xml:space="preserve">,</w:t>
      </w:r>
      <w:r>
        <w:t xml:space="preserve"> </w:t>
      </w:r>
      <m:oMath>
        <m:r>
          <m:t>p</m:t>
        </m:r>
        <m:r>
          <m:rPr>
            <m:sty m:val="p"/>
          </m:rPr>
          <m:t>=</m:t>
        </m:r>
        <m:r>
          <m:t>.002</m:t>
        </m:r>
      </m:oMath>
      <w:r>
        <w:t xml:space="preserve">) nhưng KHÔNG bền vững: FR anomaly (k=3) là nguồn chính của</w:t>
      </w:r>
      <w:r>
        <w:t xml:space="preserve"> </w:t>
      </w:r>
      <m:oMath>
        <m:sSub>
          <m:e>
            <m:r>
              <m:t>Q</m:t>
            </m:r>
          </m:e>
          <m:sub>
            <m:r>
              <m:t>M</m:t>
            </m:r>
          </m:sub>
        </m:sSub>
      </m:oMath>
      <w:r>
        <w:t xml:space="preserve">, bỏ ô này thì omnibus về không có ý nghĩa (</w:t>
      </w:r>
      <m:oMath>
        <m:sSub>
          <m:e>
            <m:r>
              <m:t>Q</m:t>
            </m:r>
          </m:e>
          <m:sub>
            <m:r>
              <m:t>M</m:t>
            </m:r>
          </m:sub>
        </m:sSub>
        <m:r>
          <m:rPr>
            <m:sty m:val="p"/>
          </m:rPr>
          <m:t>=</m:t>
        </m:r>
        <m:r>
          <m:t>1.49</m:t>
        </m:r>
      </m:oMath>
      <w:r>
        <w:t xml:space="preserve">,</w:t>
      </w:r>
      <w:r>
        <w:t xml:space="preserve"> </w:t>
      </w:r>
      <m:oMath>
        <m:r>
          <m:t>p</m:t>
        </m:r>
        <m:r>
          <m:rPr>
            <m:sty m:val="p"/>
          </m:rPr>
          <m:t>=</m:t>
        </m:r>
        <m:r>
          <m:t>.68</m:t>
        </m:r>
      </m:oMath>
      <w:r>
        <w:t xml:space="preserve">). Vì vậy moderation thể chế trực tiếp ở cấp literature là yếu/không robust, và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76.1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11.8</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trên toàn mẫu nhưng KHÔNG bền vững</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trên toàn mẫu, nhưng FR anomaly (k=3) là driver duy nhất — kiểm định nhạy cảm bỏ ô này đưa</w:t>
      </w:r>
      <w:r>
        <w:t xml:space="preserve"> </w:t>
      </w:r>
      <m:oMath>
        <m:sSub>
          <m:e>
            <m:r>
              <m:t>Q</m:t>
            </m:r>
          </m:e>
          <m:sub>
            <m:r>
              <m:t>M</m:t>
            </m:r>
          </m:sub>
        </m:sSub>
        <m:r>
          <m:rPr>
            <m:sty m:val="p"/>
          </m:rPr>
          <m:t>=</m:t>
        </m:r>
        <m:r>
          <m:t>1.49</m:t>
        </m:r>
      </m:oMath>
      <w:r>
        <w:t xml:space="preserve"> </w:t>
      </w:r>
      <w:r>
        <w:t xml:space="preserve">(</w:t>
      </w:r>
      <m:oMath>
        <m:r>
          <m:t>d</m:t>
        </m:r>
        <m:r>
          <m:t>f</m:t>
        </m:r>
        <m:r>
          <m:rPr>
            <m:sty m:val="p"/>
          </m:rPr>
          <m:t>=</m:t>
        </m:r>
        <m:r>
          <m:t>3</m:t>
        </m:r>
      </m:oMath>
      <w:r>
        <w:t xml:space="preserve">,</w:t>
      </w:r>
      <w:r>
        <w:t xml:space="preserve"> </w:t>
      </w:r>
      <m:oMath>
        <m:r>
          <m:t>p</m:t>
        </m:r>
        <m:r>
          <m:rPr>
            <m:sty m:val="p"/>
          </m:rPr>
          <m:t>=</m:t>
        </m:r>
        <m:r>
          <m:t>.68</m:t>
        </m:r>
      </m:oMath>
      <w:r>
        <w:t xml:space="preserve">), không có ý nghĩa. Không có moderation thể chế trực tiếp robust ở cấp literature; tính ngữ cảnh thể chế chỉ bộc lộ ở cấp doanh nghiệp qua tương tác có điều kiện (CDCM).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quan trọng, song bằng chứng meta cấp literature về moderation thể chế trực tiếp là yếu (ICRV omnibus không bền vững khi bỏ ô Frontier, Q_M=1.49, p=.68); tác động thể chế bộc lộ rõ hơn ở cấp doanh nghiệp qua tương tác có điều kiện (CDCM)</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87.8</m:t>
        </m:r>
        <m:r>
          <m:rPr>
            <m:sty m:val="p"/>
          </m:rPr>
          <m:t>%</m:t>
        </m:r>
      </m:oMath>
      <w:r>
        <w:t xml:space="preserve"> </w:t>
      </w:r>
      <w:r>
        <w:t xml:space="preserve">chủ yếu nằm ở within-study variance (Level 2, 76.1%) hơn là between-study (Level 3, 11.8%),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trên toàn mẫu (Q_M=17.35, p=.002) nhưng KHÔNG bền vững — bỏ ô Frontier (k=3) thì về không có ý nghĩa (Q_M=1.49, p=.68) — nên moderation thể chế trực tiếp không được xác nhận robust và gradient đơn điệu E1a/E1b cũng không;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số liệu chưa được xác nhận thì giữ ở dạng</w:t>
      </w:r>
      <w:r>
        <w:t xml:space="preserve"> </w:t>
      </w:r>
      <w:r>
        <w:rPr>
          <w:rStyle w:val="VerbatimChar"/>
        </w:rPr>
        <w:t xml:space="preserve">[TBD]</w:t>
      </w:r>
      <w:r>
        <w:t xml:space="preserve">; tuyệt đối không trình bày số chưa xác nhận như kết quả thật. Phần độ tin cậy liên mã hóa viên (Cohen’s</w:t>
      </w:r>
      <w:r>
        <w:t xml:space="preserve"> </w:t>
      </w:r>
      <m:oMath>
        <m:r>
          <m:t>κ</m:t>
        </m:r>
      </m:oMath>
      <w:r>
        <w:t xml:space="preserve">) đã được</w:t>
      </w:r>
      <w:r>
        <w:t xml:space="preserve"> </w:t>
      </w:r>
      <w:r>
        <w:rPr>
          <w:bCs/>
          <w:b/>
        </w:rPr>
        <w:t xml:space="preserve">gỡ bỏ</w:t>
      </w:r>
      <w:r>
        <w:t xml:space="preserve"> </w:t>
      </w:r>
      <w:r>
        <w:t xml:space="preserve">vì nghiên cứu do một coder thực hiện (κ đòi hỏi hai coder độc lập); thay vào đó báo cáo quy trình double-entry và nêu hạn chế single-coder minh bạch (xem §3.3.2 EN / §3.7 VI).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2026-05-29T10:41:37Z</dcterms:created>
  <dcterms:modified xsi:type="dcterms:W3CDTF">2026-05-29T10:41:37Z</dcterms:modified>
</cp:coreProperties>
</file>

<file path=docProps/custom.xml><?xml version="1.0" encoding="utf-8"?>
<Properties xmlns="http://schemas.openxmlformats.org/officeDocument/2006/custom-properties" xmlns:vt="http://schemas.openxmlformats.org/officeDocument/2006/docPropsVTypes"/>
</file>