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2"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21"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21"/>
    <w:bookmarkEnd w:id="22"/>
    <w:bookmarkStart w:id="23"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23"/>
    <w:bookmarkStart w:id="24"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49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4"/>
    <w:bookmarkStart w:id="25"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49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5"/>
    <w:bookmarkStart w:id="29" w:name="đối-tượng-và-phạm-vi-nghiên-cứu"/>
    <w:p>
      <w:pPr>
        <w:pStyle w:val="Heading2"/>
      </w:pPr>
      <w:r>
        <w:t xml:space="preserve">1.5 Đối tượng và phạm vi nghiên cứu</w:t>
      </w:r>
    </w:p>
    <w:bookmarkStart w:id="26"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6"/>
    <w:bookmarkStart w:id="27"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7"/>
    <w:bookmarkStart w:id="28"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91.982 doanh nghiệp với 102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8"/>
    <w:bookmarkEnd w:id="29"/>
    <w:bookmarkStart w:id="3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30"/>
    <w:bookmarkStart w:id="31"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inverted-U,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1"/>
    <w:bookmarkStart w:id="35" w:name="ý-nghĩa-khoa-học-và-thực-tiễn"/>
    <w:p>
      <w:pPr>
        <w:pStyle w:val="Heading2"/>
      </w:pPr>
      <w:r>
        <w:t xml:space="preserve">1.8 Ý nghĩa khoa học và thực tiễn</w:t>
      </w:r>
    </w:p>
    <w:bookmarkStart w:id="32" w:name="đóng-góp-lý-thuyết"/>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literature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32"/>
    <w:bookmarkStart w:id="3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literature kinh doanh quốc tế.</w:t>
      </w:r>
    </w:p>
    <w:bookmarkEnd w:id="33"/>
    <w:bookmarkStart w:id="3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bookmarkEnd w:id="34"/>
    <w:bookmarkEnd w:id="35"/>
    <w:bookmarkStart w:id="3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49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91.982 doanh nghiệp từ 49 nền kinh tế châu Á và Thái Bình Dương, mở rộng đáng kể từ pool 17 nước (nghiên cứu thành phần P1)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6"/>
    <w:bookmarkStart w:id="3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under review): kiểm định inverted-U tại Nhóm IV ICRV, turning point = 39,3–46,2% FSTS, TCI là level-shifter có ý nghĩa.</w:t>
      </w:r>
      <w:r>
        <w:t xml:space="preserve"> </w:t>
      </w:r>
      <w:r>
        <w:rPr>
          <w:bCs/>
          <w:b/>
        </w:rPr>
        <w:t xml:space="preserve">P4</w:t>
      </w:r>
      <w:r>
        <w:t xml:space="preserve"> </w:t>
      </w:r>
      <w:r>
        <w:t xml:space="preserve">(Singapore, MIR, under review): kiểm định tại Nhóm I ICRV, turning point ≈ 88,6% (khoảng tin cậy rất rộng và vượt ngưỡng khả thi của FSTS, nên không định vị tin cậy, xem §4.3), DAI Tier-1+2 khuếch đại đường cong I–P.</w:t>
      </w:r>
      <w:r>
        <w:t xml:space="preserve"> </w:t>
      </w:r>
      <w:r>
        <w:rPr>
          <w:bCs/>
          <w:b/>
        </w:rPr>
        <w:t xml:space="preserve">P5</w:t>
      </w:r>
      <w:r>
        <w:t xml:space="preserve"> </w:t>
      </w:r>
      <w:r>
        <w:t xml:space="preserve">(Trung Quốc,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IBR, under review): k = 238 nghiên cứu, r̄ = 0,074, I² = 62,4%, gradient ICRV Q_M = 17,35 (df = 4, p = ,002).</w:t>
      </w:r>
      <w:r>
        <w:t xml:space="preserve"> </w:t>
      </w:r>
      <w:r>
        <w:rPr>
          <w:bCs/>
          <w:b/>
        </w:rPr>
        <w:t xml:space="preserve">P7</w:t>
      </w:r>
      <w:r>
        <w:t xml:space="preserve"> </w:t>
      </w:r>
      <w:r>
        <w:t xml:space="preserve">(49 nền kinh tế,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(SIDS,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 40,7% →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bookmarkEnd w:id="3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2026-06-12T10:49:12Z</dcterms:created>
  <dcterms:modified xsi:type="dcterms:W3CDTF">2026-06-12T10:49:12Z</dcterms:modified>
</cp:coreProperties>
</file>

<file path=docProps/custom.xml><?xml version="1.0" encoding="utf-8"?>
<Properties xmlns="http://schemas.openxmlformats.org/officeDocument/2006/custom-properties" xmlns:vt="http://schemas.openxmlformats.org/officeDocument/2006/docPropsVTypes"/>
</file>