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6"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pool 91.982 doanh nghiệp từ 49 nền kinh tế châu Á và Thái Bình Dương trong giai đoạn 2003–2025 cho thấy bức tranh hiệu quả hoạt động kinh doanh có sự phân tán lớn và không hội tụ.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mẫu phân tích hồi quy chính N = 91.982 từ 49 nền kinh tế).</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4.708</w:t>
            </w:r>
          </w:p>
        </w:tc>
        <w:tc>
          <w:tcPr/>
          <w:p>
            <w:pPr>
              <w:pStyle w:val="Compact"/>
              <w:jc w:val="left"/>
            </w:pPr>
            <w:r>
              <w:rPr>
                <w:bCs/>
                <w:b/>
              </w:rPr>
              <w:t xml:space="preserve">1,04</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phân tích hồi quy chính của P7 là N = 91.982 (mô hình baseline) và giảm dần khi bổ sung biến kiểm soát (xem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20,5%, ISO 35,0% và 28,4%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22"/>
    <w:bookmarkStart w:id="23"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 Adv. đổi mới</w:t>
            </w:r>
          </w:p>
        </w:tc>
        <w:tc>
          <w:tcPr/>
          <w:p>
            <w:pPr>
              <w:pStyle w:val="Compact"/>
              <w:jc w:val="left"/>
            </w:pPr>
            <w:r>
              <w:t xml:space="preserve">24,3</w:t>
            </w:r>
          </w:p>
        </w:tc>
        <w:tc>
          <w:tcPr/>
          <w:p>
            <w:pPr>
              <w:pStyle w:val="Compact"/>
              <w:jc w:val="left"/>
            </w:pPr>
            <w:r>
              <w:t xml:space="preserve">14,7</w:t>
            </w:r>
          </w:p>
        </w:tc>
        <w:tc>
          <w:tcPr/>
          <w:p>
            <w:pPr>
              <w:pStyle w:val="Compact"/>
              <w:jc w:val="left"/>
            </w:pPr>
            <w:r>
              <w:rPr>
                <w:bCs/>
                <w:b/>
              </w:rPr>
              <w:t xml:space="preserve">20,5</w:t>
            </w:r>
          </w:p>
        </w:tc>
        <w:tc>
          <w:tcPr/>
          <w:p>
            <w:pPr>
              <w:pStyle w:val="Compact"/>
              <w:jc w:val="left"/>
            </w:pPr>
            <w:r>
              <w:rPr>
                <w:bCs/>
                <w:b/>
              </w:rPr>
              <w:t xml:space="preserve">35,0</w:t>
            </w:r>
          </w:p>
        </w:tc>
        <w:tc>
          <w:tcPr/>
          <w:p>
            <w:pPr>
              <w:pStyle w:val="Compact"/>
              <w:jc w:val="left"/>
            </w:pPr>
            <w:r>
              <w:rPr>
                <w:bCs/>
                <w:b/>
              </w:rPr>
              <w:t xml:space="preserve">61,7</w:t>
            </w:r>
          </w:p>
        </w:tc>
      </w:tr>
      <w:tr>
        <w:tc>
          <w:tcPr/>
          <w:p>
            <w:pPr>
              <w:pStyle w:val="Compact"/>
              <w:jc w:val="left"/>
            </w:pPr>
            <w:r>
              <w:t xml:space="preserve">II —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49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20,5% (Nhóm I) → 10,2% (Nhóm VI); ISO 35,0% → 12,2%; website 61,7% →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(+0,098, so với +0,180–0,201 ở các nhóm chuyển đổi và tài nguyên, Chuyên đề 1, Bảng 2.3.8.1) dù tỷ lệ có website của nhóm này cao nhất (61,7%).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p>
      <w:r>
        <w:pict>
          <v:rect style="width:0;height:1.5pt" o:hralign="center" o:hrstd="t" o:hr="t"/>
        </w:pict>
      </w:r>
    </w:p>
    <w:bookmarkEnd w:id="25"/>
    <w:bookmarkEnd w:id="26"/>
    <w:bookmarkStart w:id="31" w:name="Xe0084a7c2f7e752cafc4091ca0758f37f91bfa0"/>
    <w:p>
      <w:pPr>
        <w:pStyle w:val="Heading2"/>
      </w:pPr>
      <w:r>
        <w:t xml:space="preserve">4.2 Kết quả tổng hợp định lượng: Meta-analysis ba tầng (P6)</w:t>
      </w:r>
    </w:p>
    <w:bookmarkStart w:id="27"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7"/>
    <w:bookmarkStart w:id="28"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8"/>
    <w:bookmarkStart w:id="29"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29"/>
    <w:bookmarkStart w:id="30"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literature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30"/>
    <w:bookmarkEnd w:id="31"/>
    <w:bookmarkStart w:id="35" w:name="Xae571c1410747d630a72c4d12985bac375822ae"/>
    <w:p>
      <w:pPr>
        <w:pStyle w:val="Heading2"/>
      </w:pPr>
      <w:r>
        <w:t xml:space="preserve">4.3 Kết quả bối cảnh thể chế tiên tiến: Đổi mới: Singapore (P4)</w:t>
      </w:r>
    </w:p>
    <w:bookmarkStart w:id="32"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32"/>
    <w:bookmarkStart w:id="33"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3"/>
    <w:bookmarkStart w:id="34"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34"/>
    <w:bookmarkEnd w:id="35"/>
    <w:bookmarkStart w:id="39" w:name="Xabe361c2d5961cf19ce7ab2bd5d9bc6d758140a"/>
    <w:p>
      <w:pPr>
        <w:pStyle w:val="Heading2"/>
      </w:pPr>
      <w:r>
        <w:t xml:space="preserve">4.4 Kết quả bối cảnh thể chế trung bình cao: Trung Quốc, 2012–2024 (P5)</w:t>
      </w:r>
    </w:p>
    <w:bookmarkStart w:id="36"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6"/>
    <w:bookmarkStart w:id="37"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turning point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37"/>
    <w:bookmarkStart w:id="38"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8"/>
    <w:bookmarkEnd w:id="39"/>
    <w:bookmarkStart w:id="44" w:name="Xdbd5cc67084304ba85b73781c0cb0c00b74055b"/>
    <w:p>
      <w:pPr>
        <w:pStyle w:val="Heading2"/>
      </w:pPr>
      <w:r>
        <w:t xml:space="preserve">4.5 Kết quả bối cảnh chuyển đổi bậc thấp–trung: Việt Nam (P3)</w:t>
      </w:r>
    </w:p>
    <w:bookmarkStart w:id="4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40"/>
    <w:bookmarkStart w:id="41"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turning point đã dịch chuyển đáng kể từ 46,2% xuống 39,3% giữa hai làn sóng.</w:t>
      </w:r>
    </w:p>
    <w:bookmarkEnd w:id="41"/>
    <w:bookmarkStart w:id="42"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42"/>
    <w:bookmarkStart w:id="43"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3"/>
    <w:bookmarkEnd w:id="44"/>
    <w:bookmarkStart w:id="51" w:name="X561afa853383c674354c1acb167a55cae3a018f"/>
    <w:p>
      <w:pPr>
        <w:pStyle w:val="Heading2"/>
      </w:pPr>
      <w:r>
        <w:t xml:space="preserve">4.6 Kết quả kiểm định toàn mẫu đa bối cảnh châu Á (P7)</w:t>
      </w:r>
    </w:p>
    <w:bookmarkStart w:id="45"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cấu hình mạnh nhất về kiểm soát phương sai không quan sát (</w:t>
      </w:r>
      <m:oMath>
        <m:sSup>
          <m:e>
            <m:r>
              <m:rPr>
                <m:nor/>
                <m:sty m:val="p"/>
              </m:rPr>
              <m:t>adjR</m:t>
            </m:r>
          </m:e>
          <m:sup>
            <m:r>
              <m:t>2</m:t>
            </m:r>
          </m:sup>
        </m:sSup>
        <m:r>
          <m:rPr>
            <m:sty m:val="p"/>
          </m:rPr>
          <m:t>=</m:t>
        </m:r>
        <m:r>
          <m:rPr>
            <m:sty m:val="p"/>
          </m:rPr>
          <m:t>,</m:t>
        </m:r>
        <m:r>
          <m:t>677</m:t>
        </m:r>
      </m:oMath>
      <w:r>
        <w:t xml:space="preserve">),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p>
      <w:pPr>
        <w:pStyle w:val="BodyText"/>
      </w:pPr>
      <w:r>
        <w:rPr>
          <w:bCs/>
          <w:b/>
        </w:rPr>
        <w:t xml:space="preserve">Phạm vi thời gian của mẫu.</w:t>
      </w:r>
      <w:r>
        <w:t xml:space="preserve"> </w:t>
      </w:r>
      <w:r>
        <w:t xml:space="preserve">Mẫu phân tích của P7 được chốt tại 49 nền kinh tế với các đợt khảo sát đến thời điểm xây dựng bộ dữ liệu. Một số đợt khảo sát công bố sau thời điểm chốt mẫu, đáng chú ý là Nhật Bản 2025 (nền kinh tế lần đầu được WBES khảo sát, thuộc nhóm thể chế tiên tiến) và các đợt 2024–2026 của nhiều nền trong khung, nằm ngoài phạm vi ước lượng của luận án và tạo thành hướng mở rộng tự nhiên cho nghiên cứu tiếp theo (xem §5.5). Về mặt kỳ vọng, do mô hình dùng hiệu ứng cố định nền kinh tế và Nhật Bản có biến thiên quốc tế hóa thấp (FSTS trung bình khoảng 4%), việc bổ sung quan sát này nhiều khả năng chỉ tinh chỉnh ước lượng của Nhóm I mà không làm thay đổi gradient điểm uốn giữa các nhóm.</w:t>
      </w:r>
    </w:p>
    <w:bookmarkEnd w:id="45"/>
    <w:bookmarkStart w:id="49" w:name="gradient-icrv-xác-nhận-h5"/>
    <w:p>
      <w:pPr>
        <w:pStyle w:val="Heading3"/>
      </w:pPr>
      <w:r>
        <w:t xml:space="preserve">4.6.2 Gradient ICRV: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TP(Emerging/SIDS)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meta-analytic và primary empirical, cùng chỉ ra gradient ICRV, tạo ra independent confirmation có giá trị.</w:t>
      </w:r>
    </w:p>
    <w:p>
      <w:pPr>
        <w:pStyle w:val="CaptionedFigure"/>
      </w:pPr>
      <w:r>
        <w:drawing>
          <wp:inline>
            <wp:extent cx="5753100" cy="3849196"/>
            <wp:effectExtent b="0" l="0" r="0" t="0"/>
            <wp:docPr descr="Hình 4.1. Họ đường cong I–P phụ thuộc chế độ thể chế ICRV" title="" id="47" name="Picture"/>
            <a:graphic>
              <a:graphicData uri="http://schemas.openxmlformats.org/drawingml/2006/picture">
                <pic:pic>
                  <pic:nvPicPr>
                    <pic:cNvPr descr="figures/fig_4_x_ip_curves_icrv_gradient.png" id="48" name="Picture"/>
                    <pic:cNvPicPr>
                      <a:picLocks noChangeArrowheads="1" noChangeAspect="1"/>
                    </pic:cNvPicPr>
                  </pic:nvPicPr>
                  <pic:blipFill>
                    <a:blip r:embed="rId46"/>
                    <a:stretch>
                      <a:fillRect/>
                    </a:stretch>
                  </pic:blipFill>
                  <pic:spPr bwMode="auto">
                    <a:xfrm>
                      <a:off x="0" y="0"/>
                      <a:ext cx="5753100" cy="3849196"/>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I–P phụ thuộc chế độ thể chế ICRV.</w:t>
      </w:r>
      <w:r>
        <w:t xml:space="preserve"> </w:t>
      </w:r>
      <w:r>
        <w:t xml:space="preserve">Các đường chữ U ngược có cùng độ cao đỉnh nhưng điểm uốn (turning point) dịch dần sang phải khi chất lượng thể chế giảm (từ ≈28% ở Nhóm I đến ≈55% ở Nhóm V–VI); riêng nhóm SIDS (Nhóm VI) quan hệ chuyển sang âm đơn điệu không có điểm uốn (FIP, H1b).</w:t>
      </w:r>
      <w:r>
        <w:t xml:space="preserve"> </w:t>
      </w:r>
      <w:r>
        <w:rPr>
          <w:iCs/>
          <w:i/>
        </w:rPr>
        <w:t xml:space="preserve">Nguồn: minh họa của tác giả từ kết quả P6–P8.</w:t>
      </w:r>
    </w:p>
    <w:bookmarkEnd w:id="49"/>
    <w:bookmarkStart w:id="50"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50"/>
    <w:bookmarkEnd w:id="51"/>
    <w:bookmarkStart w:id="56" w:name="X42f69945b56833cca239d45dc5864a7be6f74d7"/>
    <w:p>
      <w:pPr>
        <w:pStyle w:val="Heading2"/>
      </w:pPr>
      <w:r>
        <w:t xml:space="preserve">4.7 Kết quả trường hợp biên SIDS: Các nền kinh tế đảo nhỏ đang phát triển (P8)</w:t>
      </w:r>
    </w:p>
    <w:bookmarkStart w:id="52"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52"/>
    <w:bookmarkStart w:id="53"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turning point trong phạm vi dữ liệu.</w:t>
      </w:r>
    </w:p>
    <w:bookmarkEnd w:id="53"/>
    <w:bookmarkStart w:id="54"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literature internationalization–firm performance cho khu vực Thái Bình Dương.</w:t>
      </w:r>
    </w:p>
    <w:bookmarkEnd w:id="54"/>
    <w:bookmarkStart w:id="55"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p>
      <w:r>
        <w:pict>
          <v:rect style="width:0;height:1.5pt" o:hralign="center" o:hrstd="t" o:hr="t"/>
        </w:pict>
      </w:r>
    </w:p>
    <w:bookmarkEnd w:id="55"/>
    <w:bookmarkEnd w:id="56"/>
    <w:bookmarkStart w:id="57"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4.3.</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cũng thuộc chế độ thu nhập trung bình cao (Nhóm III ICRV), nơi điểm uốn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57"/>
    <w:bookmarkStart w:id="58" w:name="X3f9ed6ea86262c6caa26e51d1f917462628cea6"/>
    <w:p>
      <w:pPr>
        <w:pStyle w:val="Heading2"/>
      </w:pPr>
      <w:r>
        <w:t xml:space="preserve">4.9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điểm uốn của quan hệ I–P dịch dần ra phía cường độ xuất khẩu cao hơn theo chiều thể chế yếu đi, từ khoảng 28% ở nhóm Advanced đổi mới đến khoảng 55% ở nhóm Emerging và SIDS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literature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(§4.3.2,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58"/>
    <w:bookmarkStart w:id="59" w:name="tổng-hợp-kết-quả-theo-hệ-giả-thuyết"/>
    <w:p>
      <w:pPr>
        <w:pStyle w:val="Heading2"/>
      </w:pPr>
      <w:r>
        <w:t xml:space="preserve">4.10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59"/>
    <w:bookmarkStart w:id="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6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2026-06-12T10:49:13Z</dcterms:created>
  <dcterms:modified xsi:type="dcterms:W3CDTF">2026-06-12T10:49:13Z</dcterms:modified>
</cp:coreProperties>
</file>

<file path=docProps/custom.xml><?xml version="1.0" encoding="utf-8"?>
<Properties xmlns="http://schemas.openxmlformats.org/officeDocument/2006/custom-properties" xmlns:vt="http://schemas.openxmlformats.org/officeDocument/2006/docPropsVTypes"/>
</file>