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8" w:name="Xff8cef3ed320f9cf6f3fba4ff558bfed3af19c6"/>
    <w:p>
      <w:pPr>
        <w:pStyle w:val="Heading2"/>
      </w:pPr>
      <w:r>
        <w:t xml:space="preserve">5.1 Bàn luận kết quả theo khung lý thuyết CDCM</w:t>
      </w:r>
    </w:p>
    <w:bookmarkStart w:id="22"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đều chỉ đến cùng một kết luận: điểm uốn (turning point) của quan hệ I–P</w:t>
      </w:r>
      <w:r>
        <w:t xml:space="preserve"> </w:t>
      </w:r>
      <w:r>
        <w:rPr>
          <w:bCs/>
          <w:b/>
        </w:rPr>
        <w:t xml:space="preserve">giảm dần</w:t>
      </w:r>
      <w:r>
        <w:t xml:space="preserve"> </w:t>
      </w:r>
      <w:r>
        <w:t xml:space="preserve">từ SIDS/Emerging (~55% FSTS) xuống Lower-middle transition, Upper-middle, Advanced Resource, và Advanced Innovation (~28% FSTS). Hay nói cách khác, nền kinh tế thể chế mạnh hơn đạt đỉnh hiệu quả xuất khẩu tại mức FSTS thấp hơn,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w:t>
      </w:r>
      <w:r>
        <w:t xml:space="preserve"> </w:t>
      </w:r>
      <w:r>
        <w:t xml:space="preserve">“</w:t>
      </w:r>
      <w:r>
        <w:t xml:space="preserve">institutional voids</w:t>
      </w:r>
      <w:r>
        <w:t xml:space="preserve">”</w:t>
      </w:r>
      <w:r>
        <w:t xml:space="preserve"> </w:t>
      </w:r>
      <w:r>
        <w:t xml:space="preserve">(Khanna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w:t>
      </w:r>
      <w:r>
        <w:t xml:space="preserve"> </w:t>
      </w:r>
      <w:r>
        <w:t xml:space="preserve">“</w:t>
      </w:r>
      <w:r>
        <w:t xml:space="preserve">digital shield effect</w:t>
      </w:r>
      <w:r>
        <w:t xml:space="preserve">”</w:t>
      </w:r>
      <w:r>
        <w:t xml:space="preserve"> </w:t>
      </w:r>
      <w:r>
        <w:t xml:space="preserve">phát huy mạnh nhất khi nền tảng thể chế còn thiếu hụt, không phải khi thể chế đã hoàn thiện.</w:t>
      </w:r>
    </w:p>
    <w:bookmarkEnd w:id="24"/>
    <w:bookmarkStart w:id="25" w:name="X9c0cd9664cda47af8ea782aa1697b3fd1384e63"/>
    <w:p>
      <w:pPr>
        <w:pStyle w:val="Heading3"/>
      </w:pPr>
      <w:r>
        <w:t xml:space="preserve">5.1.4 Đặc Điểm Nhà Quản Trị là Moderator Cá Nhân: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country+year FE,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7"/>
    <w:bookmarkEnd w:id="28"/>
    <w:bookmarkStart w:id="32" w:name="so-sánh-với-nghiên-cứu-trước-đây"/>
    <w:p>
      <w:pPr>
        <w:pStyle w:val="Heading2"/>
      </w:pPr>
      <w:r>
        <w:t xml:space="preserve">5.2 So sánh với nghiên cứu trước đây</w:t>
      </w:r>
    </w:p>
    <w:bookmarkStart w:id="29"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vấn đề chủ yếu là</w:t>
      </w:r>
      <w:r>
        <w:t xml:space="preserve"> </w:t>
      </w:r>
      <w:r>
        <w:rPr>
          <w:bCs/>
          <w:b/>
        </w:rPr>
        <w:t xml:space="preserve">đo lường bên trong nghiên cứu</w:t>
      </w:r>
      <w:r>
        <w:t xml:space="preserve">, không phải sự bất đồng căn bản giữa các nghiên cứu.</w:t>
      </w:r>
    </w:p>
    <w:bookmarkEnd w:id="29"/>
    <w:bookmarkStart w:id="30"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§4.3) đến TP ≈ 39,7% (Việt Nam pooled,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không phải là S-curve hay inverted-U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49 nền kinh tế châu Á và Thái Bình Dương, bối cảnh underrepresented trong literature Lu và Beamish.</w:t>
      </w:r>
    </w:p>
    <w:bookmarkEnd w:id="30"/>
    <w:bookmarkStart w:id="31"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31"/>
    <w:bookmarkEnd w:id="32"/>
    <w:bookmarkStart w:id="36" w:name="đóng-góp-lý-thuyết"/>
    <w:p>
      <w:pPr>
        <w:pStyle w:val="Heading2"/>
      </w:pPr>
      <w:r>
        <w:t xml:space="preserve">5.3 Đóng góp lý thuyết</w:t>
      </w:r>
    </w:p>
    <w:bookmarkStart w:id="33"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3"/>
    <w:bookmarkStart w:id="34"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literature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turning point để thoát khỏi.</w:t>
      </w:r>
    </w:p>
    <w:bookmarkEnd w:id="34"/>
    <w:bookmarkStart w:id="35"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SIDS/Emerging (~55%) xuống Advanced Innovation (~28%), thể chế càng mạnh, doanh nghiệp đạt đỉnh hiệu quả ở mức quốc tế hóa thấp hơn, xác nhận giá trị dự đoán của phân loại.</w:t>
      </w:r>
    </w:p>
    <w:p>
      <w:r>
        <w:pict>
          <v:rect style="width:0;height:1.5pt" o:hralign="center" o:hrstd="t" o:hr="t"/>
        </w:pict>
      </w:r>
    </w:p>
    <w:bookmarkEnd w:id="35"/>
    <w:bookmarkEnd w:id="36"/>
    <w:bookmarkStart w:id="41" w:name="đề-xuất-chính-sách-và-quản-trị"/>
    <w:p>
      <w:pPr>
        <w:pStyle w:val="Heading2"/>
      </w:pPr>
      <w:r>
        <w:t xml:space="preserve">5.4 Đề xuất chính sách và quản trị</w:t>
      </w:r>
    </w:p>
    <w:bookmarkStart w:id="37"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7"/>
    <w:bookmarkStart w:id="38" w:name="Xb72945ffcd7baeba99eebb1118ccccd8ec07fb7"/>
    <w:p>
      <w:pPr>
        <w:pStyle w:val="Heading3"/>
      </w:pPr>
      <w:r>
        <w:t xml:space="preserve">5.4.2 Đề xuất cho nhà quản trị doanh nghiệp: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8"/>
    <w:bookmarkStart w:id="39"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39"/>
    <w:bookmarkStart w:id="40"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40"/>
    <w:bookmarkEnd w:id="41"/>
    <w:bookmarkStart w:id="46" w:name="hạn-chế-và-hướng-nghiên-cứu-tương-lai"/>
    <w:p>
      <w:pPr>
        <w:pStyle w:val="Heading2"/>
      </w:pPr>
      <w:r>
        <w:t xml:space="preserve">5.5 Hạn chế và hướng nghiên cứu tương lai</w:t>
      </w:r>
    </w:p>
    <w:bookmarkStart w:id="42"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42"/>
    <w:bookmarkStart w:id="43"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3"/>
    <w:bookmarkStart w:id="44"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4"/>
    <w:bookmarkStart w:id="45"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r>
        <w:pict>
          <v:rect style="width:0;height:1.5pt" o:hralign="center" o:hrstd="t" o:hr="t"/>
        </w:pict>
      </w:r>
    </w:p>
    <w:bookmarkEnd w:id="45"/>
    <w:bookmarkEnd w:id="46"/>
    <w:bookmarkStart w:id="51" w:name="kết-luận"/>
    <w:p>
      <w:pPr>
        <w:pStyle w:val="Heading2"/>
      </w:pPr>
      <w:r>
        <w:t xml:space="preserve">5.6 Kết luận</w:t>
      </w:r>
    </w:p>
    <w:bookmarkStart w:id="47"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phân tích Việt Nam (Lower-mid Transition), xác nhận inverted-U với TP = 39,3–46,2%, TCI là moderator dương có ý nghĩa.</w:t>
      </w:r>
    </w:p>
    <w:p>
      <w:pPr>
        <w:numPr>
          <w:ilvl w:val="0"/>
          <w:numId w:val="1002"/>
        </w:numPr>
      </w:pPr>
      <w:r>
        <w:rPr>
          <w:bCs/>
          <w:b/>
        </w:rPr>
        <w:t xml:space="preserve">P4</w:t>
      </w:r>
      <w:r>
        <w:t xml:space="preserve">: phân tích Singapore (Advanced Innovation), xác nhận inverted-U với TP ≈ 88,6% (rộng CI), DAI khuếch đại tại mức FSTS cao.</w:t>
      </w:r>
    </w:p>
    <w:p>
      <w:pPr>
        <w:numPr>
          <w:ilvl w:val="0"/>
          <w:numId w:val="1002"/>
        </w:numPr>
      </w:pPr>
      <w:r>
        <w:rPr>
          <w:bCs/>
          <w:b/>
        </w:rPr>
        <w:t xml:space="preserve">P5</w:t>
      </w:r>
      <w:r>
        <w:t xml:space="preserve">: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turning point.</w:t>
      </w:r>
    </w:p>
    <w:p>
      <w:pPr>
        <w:numPr>
          <w:ilvl w:val="0"/>
          <w:numId w:val="1002"/>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 40,7% (2022) →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47"/>
    <w:bookmarkStart w:id="48"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thể chế càng mạnh, turning point càng sớm (FSTS thấp hơn).</w:t>
      </w:r>
    </w:p>
    <w:bookmarkEnd w:id="48"/>
    <w:bookmarkStart w:id="49"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49"/>
    <w:bookmarkStart w:id="50"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bookmarkEnd w:id="50"/>
    <w:bookmarkEnd w:id="5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2026-06-12T10:49:13Z</dcterms:created>
  <dcterms:modified xsi:type="dcterms:W3CDTF">2026-06-12T10:49:13Z</dcterms:modified>
</cp:coreProperties>
</file>

<file path=docProps/custom.xml><?xml version="1.0" encoding="utf-8"?>
<Properties xmlns="http://schemas.openxmlformats.org/officeDocument/2006/custom-properties" xmlns:vt="http://schemas.openxmlformats.org/officeDocument/2006/docPropsVTypes"/>
</file>