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w:t>
      </w:r>
      <w:r>
        <w:t xml:space="preserve"> </w:t>
      </w:r>
      <w:r>
        <w:rPr>
          <w:bCs/>
          <w:b/>
        </w:rPr>
        <w:t xml:space="preserve">chi phí buộc phải quốc tế hóa (Forced Internationalization Penalty, FIP)</w:t>
      </w:r>
      <w:r>
        <w:t xml:space="preserve"> </w:t>
      </w:r>
      <w:r>
        <w:t xml:space="preserve">ở 7 SIDS Thái Bình Dương. Đọc tổng thể, bảy tiểu cảnh không phải các trường hợp rời rạc mà là các vùng trên một</w:t>
      </w:r>
      <w:r>
        <w:t xml:space="preserve"> </w:t>
      </w:r>
      <w:r>
        <w:rPr>
          <w:bCs/>
          <w:b/>
        </w:rPr>
        <w:t xml:space="preserve">bản đồ địa hình xuất khẩu chiến lược (strategic export topography)</w:t>
      </w:r>
      <w:r>
        <w:t xml:space="preserve">. Trên bản đồ này, chế độ thể chế ICRV vận hành như một bộ lọc chi phí giao dịch, định vị nơi hiệu quả quốc tế hóa đạt đỉnh hay sụp đổ. Phát hiện này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and Indian Ocean SIDS as a boundary case. The microdata pool contains</w:t>
      </w:r>
      <w:r>
        <w:t xml:space="preserve"> </w:t>
      </w:r>
      <w:r>
        <w:rPr>
          <w:bCs/>
          <w:b/>
        </w:rPr>
        <w:t xml:space="preserve">101,185 firms, 108 country-year pairs,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and Indian Ocean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and Indian Ocean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and Indian Ocean SIDS boundary case.</w:t>
      </w:r>
    </w:p>
    <w:p>
      <w:pPr>
        <w:pStyle w:val="BodyText"/>
      </w:pPr>
      <w:r>
        <w:rPr>
          <w:bCs/>
          <w:b/>
        </w:rPr>
        <w:t xml:space="preserve">Keywords</w:t>
      </w:r>
      <w:r>
        <w:t xml:space="preserve">: firm performance; Asia; WBES; landscape; labor productivity; SMEs; Advanced sub-grouping; Pacific and Indian Ocean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0"/>
          <w:numId w:val="1001"/>
        </w:numPr>
        <w:pStyle w:val="Compact"/>
      </w:pPr>
      <w:r>
        <w:t xml:space="preserve">2.1.1 Đặt vấn đề và tính cấp thiết</w:t>
      </w:r>
    </w:p>
    <w:p>
      <w:pPr>
        <w:numPr>
          <w:ilvl w:val="0"/>
          <w:numId w:val="1001"/>
        </w:numPr>
        <w:pStyle w:val="Compact"/>
      </w:pPr>
      <w:r>
        <w:t xml:space="preserve">2.1.2 Mục tiêu chuyên đề</w:t>
      </w:r>
    </w:p>
    <w:p>
      <w:pPr>
        <w:numPr>
          <w:ilvl w:val="0"/>
          <w:numId w:val="1001"/>
        </w:numPr>
        <w:pStyle w:val="Compact"/>
      </w:pPr>
      <w:r>
        <w:t xml:space="preserve">2.1.3 Nội dung và phạm vi nghiên cứu</w:t>
      </w:r>
    </w:p>
    <w:p>
      <w:pPr>
        <w:numPr>
          <w:ilvl w:val="0"/>
          <w:numId w:val="1001"/>
        </w:numPr>
        <w:pStyle w:val="Compact"/>
      </w:pPr>
      <w:r>
        <w:t xml:space="preserve">2.1.4 Giới hạn nghiên cứu</w:t>
      </w:r>
    </w:p>
    <w:p>
      <w:pPr>
        <w:numPr>
          <w:ilvl w:val="0"/>
          <w:numId w:val="1001"/>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0"/>
          <w:numId w:val="1001"/>
        </w:numPr>
        <w:pStyle w:val="Compact"/>
      </w:pPr>
      <w:r>
        <w:t xml:space="preserve">2.3.1 Cơ sở lý luận về hiệu quả hoạt động kinh doanh</w:t>
      </w:r>
    </w:p>
    <w:p>
      <w:pPr>
        <w:numPr>
          <w:ilvl w:val="0"/>
          <w:numId w:val="1001"/>
        </w:numPr>
        <w:pStyle w:val="Compact"/>
      </w:pPr>
      <w:r>
        <w:t xml:space="preserve">2.3.2 Khung phân loại thể chế ICRV</w:t>
      </w:r>
    </w:p>
    <w:p>
      <w:pPr>
        <w:numPr>
          <w:ilvl w:val="0"/>
          <w:numId w:val="1001"/>
        </w:numPr>
        <w:pStyle w:val="Compact"/>
      </w:pPr>
      <w:r>
        <w:t xml:space="preserve">2.3.3 Thực trạng năng suất lao động và quốc tế hóa</w:t>
      </w:r>
    </w:p>
    <w:p>
      <w:pPr>
        <w:numPr>
          <w:ilvl w:val="0"/>
          <w:numId w:val="1001"/>
        </w:numPr>
        <w:pStyle w:val="Compact"/>
      </w:pPr>
      <w:r>
        <w:t xml:space="preserve">2.3.4 Đổi mới sáng tạo và năng lực số hóa</w:t>
      </w:r>
    </w:p>
    <w:p>
      <w:pPr>
        <w:numPr>
          <w:ilvl w:val="0"/>
          <w:numId w:val="1001"/>
        </w:numPr>
        <w:pStyle w:val="Compact"/>
      </w:pPr>
      <w:r>
        <w:t xml:space="preserve">2.3.5 Cấu trúc doanh nghiệp</w:t>
      </w:r>
    </w:p>
    <w:p>
      <w:pPr>
        <w:numPr>
          <w:ilvl w:val="0"/>
          <w:numId w:val="1001"/>
        </w:numPr>
        <w:pStyle w:val="Compact"/>
      </w:pPr>
      <w:r>
        <w:t xml:space="preserve">2.3.6 Biến thiên theo thời gian (2009-2025)</w:t>
      </w:r>
    </w:p>
    <w:p>
      <w:pPr>
        <w:numPr>
          <w:ilvl w:val="0"/>
          <w:numId w:val="1001"/>
        </w:numPr>
        <w:pStyle w:val="Compact"/>
      </w:pPr>
      <w:r>
        <w:t xml:space="preserve">2.3.7 Bảy tiểu cảnh điển hình</w:t>
      </w:r>
    </w:p>
    <w:p>
      <w:pPr>
        <w:numPr>
          <w:ilvl w:val="0"/>
          <w:numId w:val="1001"/>
        </w:numPr>
        <w:pStyle w:val="Compact"/>
      </w:pPr>
      <w:r>
        <w:t xml:space="preserve">2.3.8 Yếu tố giải thích sơ bộ</w:t>
      </w:r>
    </w:p>
    <w:p>
      <w:pPr>
        <w:numPr>
          <w:ilvl w:val="0"/>
          <w:numId w:val="1001"/>
        </w:numPr>
        <w:pStyle w:val="Compact"/>
      </w:pPr>
      <w:r>
        <w:t xml:space="preserve">2.3.9 Thảo luận tổng hợp</w:t>
      </w:r>
    </w:p>
    <w:p>
      <w:pPr>
        <w:numPr>
          <w:ilvl w:val="0"/>
          <w:numId w:val="1001"/>
        </w:numPr>
        <w:pStyle w:val="Compact"/>
      </w:pPr>
      <w:r>
        <w:rPr>
          <w:bCs/>
          <w:b/>
        </w:rPr>
        <w:t xml:space="preserve">2.4 Kết luận</w:t>
      </w:r>
    </w:p>
    <w:p>
      <w:pPr>
        <w:numPr>
          <w:ilvl w:val="0"/>
          <w:numId w:val="1001"/>
        </w:numPr>
        <w:pStyle w:val="Compact"/>
      </w:pPr>
      <w:r>
        <w:t xml:space="preserve">2.4.1 Kết luận chính</w:t>
      </w:r>
    </w:p>
    <w:p>
      <w:pPr>
        <w:numPr>
          <w:ilvl w:val="0"/>
          <w:numId w:val="1001"/>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(Advanced tổng hợp I+II;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giới-thiệu"/>
    <w:p>
      <w:pPr>
        <w:pStyle w:val="Heading2"/>
      </w:pPr>
      <w:r>
        <w:t xml:space="preserve">2.1 GIỚI THIỆU</w:t>
      </w:r>
    </w:p>
    <w:bookmarkStart w:id="27" w:name="đặt-vấn-đề-và-tính-cấp-thiết"/>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đơn vị tế bào của nền kinh tế, là yếu tố quyết định mức độ chuyển hoá tăng trưởng quốc gia thành thịnh vượng và năng lực cạnh tranh dài hạn (Cusolito &amp; Maloney, 2018). Do đó, một đánh giá thực trạng đủ rộng và đủ sâu về hiệu quả hoạt động của doanh nghiệp châu Á không chỉ mang giá trị mô tả, mà còn là tiền đề cho cả việc xây dựng lý thuyết lẫn thiết kế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xuống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hiệu ứng dồn đơn hàng sớm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gấp 2,5 lần phạm vi của Đỗ &amp; Phan (2026, VEFR).</w:t>
      </w:r>
    </w:p>
    <w:p>
      <w:pPr>
        <w:pStyle w:val="BodyText"/>
      </w:pPr>
      <w:r>
        <w:rPr>
          <w:bCs/>
          <w:b/>
        </w:rPr>
        <w:t xml:space="preserve">Ẩn dụ minh họa, Fiji và Singapore</w:t>
      </w:r>
      <w:r>
        <w:t xml:space="preserve">: Trường hợp Fiji 2025 với tỷ lệ website 74,8% vượt Singapore 66,1% là minh chứng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ở điều kiện biên</w:t>
      </w:r>
      <w:r>
        <w:t xml:space="preserve">”</w:t>
      </w:r>
      <w:r>
        <w:t xml:space="preserve">. Đối với Fiji và 6 SIDS Pacific khác, số hóa không phải công cụ tối ưu hóa chuỗi cung ứng mà là phương tiện sinh tồn, dẫn vào các luận điểm về điều kiện biên của mô hình U-curve và tiểu cảnh điển hình SIDS Pacific trong phần 2.3.</w:t>
      </w:r>
    </w:p>
    <w:bookmarkEnd w:id="27"/>
    <w:bookmarkStart w:id="28" w:name="mục-tiêu-chuyên-đề"/>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2"/>
        </w:numPr>
        <w:pStyle w:val="Compact"/>
      </w:pPr>
      <w:r>
        <w:t xml:space="preserve">Hệ thống hóa khái niệm và đa chiều đo lường hiệu quả hoạt động kinh doanh trong các nghiên cứu hiện hành;</w:t>
      </w:r>
    </w:p>
    <w:p>
      <w:pPr>
        <w:numPr>
          <w:ilvl w:val="0"/>
          <w:numId w:val="1002"/>
        </w:numPr>
        <w:pStyle w:val="Compact"/>
      </w:pPr>
      <w:r>
        <w:t xml:space="preserve">Đề xuất khung phân loại 6 phân nhóm con ICRV cho 47 nền kinh tế;</w:t>
      </w:r>
    </w:p>
    <w:p>
      <w:pPr>
        <w:numPr>
          <w:ilvl w:val="0"/>
          <w:numId w:val="1002"/>
        </w:numPr>
        <w:pStyle w:val="Compact"/>
      </w:pPr>
      <w:r>
        <w:t xml:space="preserve">Phân tích thực trạng đa chiều hiệu quả doanh nghiệp ở 41 nước châu Á (phạm vi chính) và so sánh với 7 SIDS Pacific (trường hợp biên);</w:t>
      </w:r>
    </w:p>
    <w:p>
      <w:pPr>
        <w:numPr>
          <w:ilvl w:val="0"/>
          <w:numId w:val="1002"/>
        </w:numPr>
        <w:pStyle w:val="Compact"/>
      </w:pPr>
      <w:r>
        <w:t xml:space="preserve">Nhận diện đặc điểm và yếu tố giải thích sơ bộ cho dị biệt hiệu quả giữa các phân nhóm;</w:t>
      </w:r>
    </w:p>
    <w:p>
      <w:pPr>
        <w:numPr>
          <w:ilvl w:val="0"/>
          <w:numId w:val="1002"/>
        </w:numPr>
        <w:pStyle w:val="Compact"/>
      </w:pPr>
      <w:r>
        <w:t xml:space="preserve">Đề xuất khoảng trống thực tiễn để định hướng nghiên cứu tiếp theo.</w:t>
      </w:r>
    </w:p>
    <w:bookmarkEnd w:id="28"/>
    <w:bookmarkStart w:id="29" w:name="nội-dung-và-phạm-vi-nghiên-cứu"/>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41 nước châu Á thuần</w:t>
      </w:r>
      <w:r>
        <w:t xml:space="preserve">:</w:t>
      </w:r>
      <w:r>
        <w:t xml:space="preserve"> </w:t>
      </w:r>
      <w:r>
        <w:t xml:space="preserve">-</w:t>
      </w:r>
      <w:r>
        <w:t xml:space="preserve"> </w:t>
      </w:r>
      <w:r>
        <w:rPr>
          <w:bCs/>
          <w:b/>
        </w:rPr>
        <w:t xml:space="preserve">(i) Advanced đổi mới sáng tạo dẫn dắt (5 nước)</w:t>
      </w:r>
      <w:r>
        <w:t xml:space="preserve">: Singapore, Hong Kong SAR, Hàn Quốc, Đài Loan, Israel.</w:t>
      </w:r>
      <w:r>
        <w:t xml:space="preserve"> </w:t>
      </w:r>
      <w:r>
        <w:t xml:space="preserve">-</w:t>
      </w:r>
      <w:r>
        <w:t xml:space="preserve"> </w:t>
      </w:r>
      <w:r>
        <w:rPr>
          <w:bCs/>
          <w:b/>
        </w:rPr>
        <w:t xml:space="preserve">(ii) Advanced tài nguyên dẫn dắt (5 nước)</w:t>
      </w:r>
      <w:r>
        <w:t xml:space="preserve">: Saudi Arabia, Qatar, Kuwait, Bahrain, Brunei.</w:t>
      </w:r>
      <w:r>
        <w:t xml:space="preserve"> </w:t>
      </w:r>
      <w:r>
        <w:t xml:space="preserve">-</w:t>
      </w:r>
      <w:r>
        <w:t xml:space="preserve"> </w:t>
      </w:r>
      <w:r>
        <w:rPr>
          <w:bCs/>
          <w:b/>
        </w:rPr>
        <w:t xml:space="preserve">(iii) Trung bình cao, Upper-middle (6 nước)</w:t>
      </w:r>
      <w:r>
        <w:t xml:space="preserve">: Trung Quốc, Malaysia, Thái Lan, Kazakhstan, Armenia, Georgia.</w:t>
      </w:r>
      <w:r>
        <w:t xml:space="preserve"> </w:t>
      </w:r>
      <w:r>
        <w:t xml:space="preserve">-</w:t>
      </w:r>
      <w:r>
        <w:t xml:space="preserve"> </w:t>
      </w:r>
      <w:r>
        <w:rPr>
          <w:bCs/>
          <w:b/>
        </w:rPr>
        <w:t xml:space="preserve">(iv) Đang nổi, Emerging (7 nước)</w:t>
      </w:r>
      <w:r>
        <w:t xml:space="preserve">: Việt Nam, Indonesia, Philippines, Ấn Độ, Sri Lanka, Jordan, Mông Cổ.</w:t>
      </w:r>
      <w:r>
        <w:t xml:space="preserve"> </w:t>
      </w:r>
      <w:r>
        <w:t xml:space="preserve">-</w:t>
      </w:r>
      <w:r>
        <w:t xml:space="preserve"> </w:t>
      </w:r>
      <w:r>
        <w:rPr>
          <w:bCs/>
          <w:b/>
        </w:rPr>
        <w:t xml:space="preserve">(v) Cận biên, Frontier (17 nước)</w:t>
      </w:r>
      <w:r>
        <w:t xml:space="preserve">: Bangladesh, Pakistan, Lào, Campuchia, Myanmar, Nepal, Bhutan, Maldives, Uzbekistan, Tajikistan, Kyrgyz Republic, Turkmenistan, Afghanistan, Timor-Leste, Iraq, Lebanon, Yemen.</w:t>
      </w:r>
    </w:p>
    <w:p>
      <w:pPr>
        <w:pStyle w:val="BodyText"/>
      </w:pPr>
      <w:r>
        <w:rPr>
          <w:bCs/>
          <w:b/>
        </w:rPr>
        <w:t xml:space="preserve">B. Trường hợp biên mở rộng,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giới-hạn-nghiên-cứu"/>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w:t>
      </w:r>
      <w:r>
        <w:t xml:space="preserve"> </w:t>
      </w:r>
      <w:r>
        <w:t xml:space="preserve">“</w:t>
      </w:r>
      <w:r>
        <w:t xml:space="preserve">hậu đại dịch kết hợp tăng tốc số</w:t>
      </w:r>
      <w:r>
        <w:t xml:space="preserve">”</w:t>
      </w:r>
      <w:r>
        <w:t xml:space="preserve">.</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ý-nghĩa-khoa-học-và-thực-tiễn"/>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numPr>
          <w:ilvl w:val="0"/>
          <w:numId w:val="1003"/>
        </w:numPr>
      </w:pPr>
      <w:r>
        <w:rPr>
          <w:bCs/>
          <w:b/>
        </w:rPr>
        <w:t xml:space="preserve">Bức tranh thực trạng đa chiều</w:t>
      </w:r>
      <w:r>
        <w:t xml:space="preserve"> </w:t>
      </w:r>
      <w:r>
        <w:t xml:space="preserve">cho hiệu quả doanh nghiệp châu Á 2009-2025, phạm vi rộng nhất trong các nghiên cứu kinh doanh quốc tế hiện hành (Wu et al., 2022 dừng ở 2020; Arte &amp; Larimo, 2022 dừng ở 2019).</w:t>
      </w:r>
    </w:p>
    <w:p>
      <w:pPr>
        <w:numPr>
          <w:ilvl w:val="0"/>
          <w:numId w:val="1003"/>
        </w:numPr>
      </w:pPr>
      <w:r>
        <w:rPr>
          <w:bCs/>
          <w:b/>
        </w:rPr>
        <w:t xml:space="preserve">Phân nhóm con Advanced</w:t>
      </w:r>
      <w:r>
        <w:t xml:space="preserve"> </w:t>
      </w:r>
      <w:r>
        <w:t xml:space="preserve">(innovation-driven so với resource-driven), phát hiện lý thuyết mới chưa có trong các nghiên cứu hiện hành. Tỷ số phân tán Singapore (1,03) so với Vùng Vịnh (0,49)</w:t>
      </w:r>
      <w:r>
        <w:t xml:space="preserve"> </w:t>
      </w:r>
      <m:oMath>
        <m:r>
          <m:rPr>
            <m:sty m:val="p"/>
          </m:rPr>
          <m:t>≈</m:t>
        </m:r>
      </m:oMath>
      <w:r>
        <w:t xml:space="preserve"> </w:t>
      </w:r>
      <w:r>
        <w:t xml:space="preserve">2,1 lần phản ánh hai cơ chế tăng trưởng hoàn toàn khác nhau.</w:t>
      </w:r>
    </w:p>
    <w:p>
      <w:pPr>
        <w:numPr>
          <w:ilvl w:val="0"/>
          <w:numId w:val="1003"/>
        </w:numPr>
      </w:pPr>
      <w:r>
        <w:rPr>
          <w:bCs/>
          <w:b/>
        </w:rPr>
        <w:t xml:space="preserve">Nhảy vọt số</w:t>
      </w:r>
      <w:r>
        <w:t xml:space="preserve"> </w:t>
      </w:r>
      <w:r>
        <w:t xml:space="preserve">ở Frontier và Emerging châu Á 2018-2025, mở rộng pattern từ 17 nước lên 47 nước. Phân tách Tier-1 (website nhị phân, đã bão hòa ở Advanced) và Tier-2 (tổng hợp đa thành phần, đang phát triển ở Emerging/Frontier).</w:t>
      </w:r>
    </w:p>
    <w:p>
      <w:pPr>
        <w:numPr>
          <w:ilvl w:val="0"/>
          <w:numId w:val="1003"/>
        </w:numPr>
      </w:pPr>
      <w:r>
        <w:rPr>
          <w:bCs/>
          <w:b/>
        </w:rPr>
        <w:t xml:space="preserve">Bằng chứng cho khung lý thuyết phi tuyến và điều tiết đa tầng</w:t>
      </w:r>
      <w:r>
        <w:t xml:space="preserve">, bốn lần đảo dấu xuyên phân nhóm con thể chế là cơ sở thực tiễn cho các giả thuyết của Chuyên đề 2.</w:t>
      </w:r>
    </w:p>
    <w:p>
      <w:pPr>
        <w:pStyle w:val="FirstParagraph"/>
      </w:pPr>
      <w:r>
        <w:rPr>
          <w:bCs/>
          <w:b/>
        </w:rPr>
        <w:t xml:space="preserve">Một đóng góp trường hợp biên mở rộng (SIDS Pacific)</w:t>
      </w:r>
      <w:r>
        <w:t xml:space="preserve">:</w:t>
      </w:r>
    </w:p>
    <w:p>
      <w:pPr>
        <w:numPr>
          <w:ilvl w:val="0"/>
          <w:numId w:val="1004"/>
        </w:numPr>
        <w:pStyle w:val="Compact"/>
      </w:pPr>
      <w:r>
        <w:rPr>
          <w:bCs/>
          <w:b/>
        </w:rPr>
        <w:t xml:space="preserve">Chi phí buộc phải quốc tế hóa</w:t>
      </w:r>
      <w:r>
        <w:t xml:space="preserve"> </w:t>
      </w:r>
      <w:r>
        <w:t xml:space="preserve">ở 7 SIDS Thái Bình Dương (Briguglio, 1995; Bertram, 2006), bằng chứng cấp doanh nghiệp đầu tiên trong các nghiên cứu kinh doanh quốc tế. Kiribati 2025 là trường hợp cực đoan nhất với FSTS 1,03%, FDI 0,7%, website 18,7%.</w:t>
      </w:r>
    </w:p>
    <w:p>
      <w:r>
        <w:pict>
          <v:rect style="width:0;height:1.5pt" o:hralign="center" o:hrstd="t" o:hr="t"/>
        </w:pict>
      </w:r>
    </w:p>
    <w:bookmarkEnd w:id="31"/>
    <w:bookmarkEnd w:id="32"/>
    <w:bookmarkStart w:id="33" w:name="phương-pháp-nghiên-cứu"/>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5"/>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5"/>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w:t>
      </w:r>
      <w:r>
        <w:t xml:space="preserve"> </w:t>
      </w:r>
      <w:r>
        <w:t xml:space="preserve">“</w:t>
      </w:r>
      <w:r>
        <w:t xml:space="preserve">Không</w:t>
      </w:r>
      <w:r>
        <w:t xml:space="preserve">”</w:t>
      </w:r>
      <w:r>
        <w:t xml:space="preserve">); gán missing nếu không trả lời.</w:t>
      </w:r>
    </w:p>
    <w:p>
      <w:pPr>
        <w:numPr>
          <w:ilvl w:val="0"/>
          <w:numId w:val="1005"/>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w:t>
      </w:r>
      <w:r>
        <w:t xml:space="preserve">$3 non-missing để tính tổng hợp.</w:t>
      </w:r>
    </w:p>
    <w:p>
      <w:pPr>
        <w:numPr>
          <w:ilvl w:val="0"/>
          <w:numId w:val="1005"/>
        </w:numPr>
      </w:pPr>
      <w:r>
        <w:rPr>
          <w:bCs/>
          <w:b/>
        </w:rPr>
        <w:t xml:space="preserve">Biến DAI (Digital Adoption Index)</w:t>
      </w:r>
      <w:r>
        <w:t xml:space="preserve">: Spec 1 (toàn bộ 2009-2025): website nhị phân (c22b/e8),</w:t>
      </w:r>
      <w:r>
        <w:t xml:space="preserve"> </w:t>
      </w:r>
      <w:r>
        <w:rPr>
          <w:bCs/>
          <w:b/>
        </w:rPr>
        <w:t xml:space="preserve">Tier-1 Sự hiện diện số cơ bản</w:t>
      </w:r>
      <w:r>
        <w:t xml:space="preserve">. Spec 2 (BREADY 2018+ trở lên): tổng hợp chuẩn hóa z website + cường độ thanh toán điện tử (k33/k38),</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PICS3/MENA-WBES (2009-2012, n=14.171): bảng hỏi PICS3 cho khu vực Đông Nam Á và Trung Á. Thế hệ 2, Standardized (2013-2017, n=24.564): áp dụng đồng nhất xuyên toàn cầu từ 2013. Thế hệ 3,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Ấn Độ FSTS sụt 7,7% xuống 2,7% trong đợt 2025.</w:t>
      </w:r>
    </w:p>
    <w:p>
      <w:pPr>
        <w:pStyle w:val="BodyText"/>
      </w:pPr>
      <w:r>
        <w:rPr>
          <w:bCs/>
          <w:b/>
        </w:rPr>
        <w:t xml:space="preserve">Nguyên tắc minh bạch dữ liệu</w:t>
      </w:r>
      <w:r>
        <w:t xml:space="preserve"> </w:t>
      </w:r>
      <w:r>
        <w:t xml:space="preserve">(Aguinis et al., 2019): chuyên đề trình bày rõ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(n=17.053 doanh nghiệp, 16,9% pool; bao gồm Nepal 2025 BREADY Micro n=1.740)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chạy hồi quy với dữ liệu đến 2024, khóa hệ số, kiểm định ổn định với dữ liệu đầy đủ bằng Chow test; (3c) panel hậu đại dịch độc lập, tách 2025 thành tập xác thực ngoài mẫu cho kỷ nguyên hậu COVID và AI.</w:t>
      </w:r>
    </w:p>
    <w:p>
      <w:r>
        <w:pict>
          <v:rect style="width:0;height:1.5pt" o:hralign="center" o:hrstd="t" o:hr="t"/>
        </w:pict>
      </w:r>
    </w:p>
    <w:bookmarkEnd w:id="33"/>
    <w:bookmarkStart w:id="81" w:name="nội-dung-nghiên-cứu"/>
    <w:p>
      <w:pPr>
        <w:pStyle w:val="Heading2"/>
      </w:pPr>
      <w:r>
        <w:t xml:space="preserve">2.3 NỘI DUNG NGHIÊN CỨU</w:t>
      </w:r>
    </w:p>
    <w:bookmarkStart w:id="40" w:name="Xb7f628376877e6b3394a2ce7cb98209bea18ab9"/>
    <w:p>
      <w:pPr>
        <w:pStyle w:val="Heading3"/>
      </w:pPr>
      <w:r>
        <w:t xml:space="preserve">2.3.1 Cơ sở lý luận về hiệu quả hoạt động kinh doanh</w:t>
      </w:r>
    </w:p>
    <w:bookmarkStart w:id="34" w:name="khái-niệm-hiệu-quả-hoạt-động-kinh-doanh"/>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w:t>
      </w:r>
      <w:r>
        <w:t xml:space="preserve">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doanh thu, lợi nhuận, tỷ suất sinh lợi; và (b)</w:t>
      </w:r>
      <w:r>
        <w:t xml:space="preserve"> </w:t>
      </w:r>
      <w:r>
        <w:rPr>
          <w:bCs/>
          <w:b/>
        </w:rPr>
        <w:t xml:space="preserve">hiệu quả hoạt động rộng hơn</w:t>
      </w:r>
      <w:r>
        <w:t xml:space="preserve">, thị phần, đổi mới, năng suất,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VRIN), trong khi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đo bằng giá trị gia tăng trên lao động hoặc doanh thu trên lao động, là thước đo phổ biến nhất trong các nghiên cứu WBES vì: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bốn-chiều-đo-lường-hiệu-quả"/>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các nghiên cứu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w:t>
      </w:r>
      <w:r>
        <w:t xml:space="preserve">$10%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5"/>
    <w:bookmarkStart w:id="36" w:name="X2c7f585e09b8fb059a51dfbd43e18e81f2f412a"/>
    <w:p>
      <w:pPr>
        <w:pStyle w:val="Heading4"/>
      </w:pPr>
      <w:r>
        <w:t xml:space="preserve">2.3.1.3 Năm meta-analysis lớn về quan hệ quốc tế hóa - hiệu quả (1980-2024)</w:t>
      </w:r>
    </w:p>
    <w:p>
      <w:pPr>
        <w:pStyle w:val="FirstParagraph"/>
      </w:pPr>
      <w:r>
        <w:t xml:space="preserve">Quan hệ quốc tế hóa -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tích cực nhưng nhỏ. Phát hiện chính: đo lường quốc tế hóa và hiệu quả không đồng nhất đáng kể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 hiệu quả. Phát hiện: chất lượng thể chế nước chủ nhà là biến điều tiết quan trọng nhất,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et al.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ba-khung-lý-thuyết-nền"/>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nhưng cần Tier-2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(a) TCI (năng lực công nghệ) là proxy cho nguồn lực khó sao chép,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7"/>
    <w:bookmarkStart w:id="38" w:name="X1a8b5920726a715638e9b692b5093988b2836eb"/>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Có</w:t>
            </w:r>
          </w:p>
        </w:tc>
        <w:tc>
          <w:tcPr/>
          <w:p>
            <w:pPr>
              <w:pStyle w:val="Compact"/>
              <w:jc w:val="left"/>
            </w:pPr>
            <w:r>
              <w:t xml:space="preserve">U-curve vận hành chuẩn,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Có</w:t>
            </w:r>
          </w:p>
        </w:tc>
        <w:tc>
          <w:tcPr/>
          <w:p>
            <w:pPr>
              <w:pStyle w:val="Compact"/>
              <w:jc w:val="center"/>
            </w:pPr>
            <w:r>
              <w:t xml:space="preserve">Có</w:t>
            </w:r>
          </w:p>
        </w:tc>
        <w:tc>
          <w:tcPr/>
          <w:p>
            <w:pPr>
              <w:pStyle w:val="Compact"/>
              <w:jc w:val="center"/>
            </w:pPr>
            <w:r>
              <w:t xml:space="preserve">Một phần</w:t>
            </w:r>
            <w:r>
              <w:t xml:space="preserve"> </w:t>
            </w:r>
            <w:r>
              <w:rPr>
                <w:iCs/>
                <w:i/>
              </w:rPr>
              <w:t xml:space="preserve">(gap de jure-de facto)</w:t>
            </w:r>
          </w:p>
        </w:tc>
        <w:tc>
          <w:tcPr/>
          <w:p>
            <w:pPr>
              <w:pStyle w:val="Compact"/>
              <w:jc w:val="left"/>
            </w:pPr>
            <w:r>
              <w:t xml:space="preserve">U-curve vận hành nhưng có bẫy chuyển hướng nguồn lực,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Không</w:t>
            </w:r>
          </w:p>
        </w:tc>
        <w:tc>
          <w:tcPr/>
          <w:p>
            <w:pPr>
              <w:pStyle w:val="Compact"/>
              <w:jc w:val="center"/>
            </w:pPr>
            <w:r>
              <w:t xml:space="preserve">Không</w:t>
            </w:r>
          </w:p>
        </w:tc>
        <w:tc>
          <w:tcPr/>
          <w:p>
            <w:pPr>
              <w:pStyle w:val="Compact"/>
              <w:jc w:val="center"/>
            </w:pPr>
            <w:r>
              <w:t xml:space="preserve">Một phần/Không</w:t>
            </w:r>
          </w:p>
        </w:tc>
        <w:tc>
          <w:tcPr/>
          <w:p>
            <w:pPr>
              <w:pStyle w:val="Compact"/>
              <w:jc w:val="left"/>
            </w:pPr>
            <w:r>
              <w:t xml:space="preserve">U-curve không vận hành, quốc tế hóa là buộc phải; Fiji website 74,8% &gt; Singapore 66% là minh chứng</w:t>
            </w:r>
          </w:p>
        </w:tc>
      </w:tr>
    </w:tbl>
    <w:bookmarkEnd w:id="38"/>
    <w:bookmarkStart w:id="39" w:name="X095aaec1a623b630743abb29fda2315c3c0a6ca"/>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w:t>
      </w:r>
      <w:r>
        <w:t xml:space="preserve"> </w:t>
      </w:r>
      <w:r>
        <w:t xml:space="preserve">“</w:t>
      </w:r>
      <w:r>
        <w:t xml:space="preserve">năng lực số</w:t>
      </w:r>
      <w:r>
        <w:t xml:space="preserve">”</w:t>
      </w:r>
      <w:r>
        <w:t xml:space="preserve"> </w:t>
      </w:r>
      <w:r>
        <w:t xml:space="preserve">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có dạng U ngược, điểm uốn</w:t>
      </w:r>
      <w:r>
        <w:t xml:space="preserve"> </w:t>
      </w:r>
      <m:oMath>
        <m:r>
          <m:rPr>
            <m:sty m:val="p"/>
          </m:rPr>
          <m:t>≈</m:t>
        </m:r>
      </m:oMath>
      <w:r>
        <w:t xml:space="preserve"> </w:t>
      </w:r>
      <w:r>
        <w:t xml:space="preserve">39-46% FSTS; Singapore có dạng tuyến tính dương + bậc hai nhẹ, điểm uốn</w:t>
      </w:r>
      <w:r>
        <w:t xml:space="preserve"> </w:t>
      </w:r>
      <m:oMath>
        <m:r>
          <m:rPr>
            <m:sty m:val="p"/>
          </m:rPr>
          <m:t>≈</m:t>
        </m:r>
      </m:oMath>
      <w:r>
        <w:t xml:space="preserve"> </w:t>
      </w:r>
      <w:r>
        <w:t xml:space="preserve">82% FSTS.</w:t>
      </w:r>
    </w:p>
    <w:p>
      <w:pPr>
        <w:pStyle w:val="BodyText"/>
      </w:pPr>
      <w:r>
        <w:rPr>
          <w:bCs/>
          <w:b/>
        </w:rPr>
        <w:t xml:space="preserve">(b) Cơ chế DAI</w:t>
      </w:r>
      <w:r>
        <w:t xml:space="preserve">: Việt Nam (Tier 1 = website only) cho thấy</w:t>
      </w:r>
      <w:r>
        <w:t xml:space="preserve"> </w:t>
      </w:r>
      <w:r>
        <w:rPr>
          <w:bCs/>
          <w:b/>
        </w:rPr>
        <w:t xml:space="preserve">phụ thuộc giai đoạn</w:t>
      </w:r>
      <w:r>
        <w:t xml:space="preserve">: tương tác DAI×FSTS âm ở FSTS cao, Tier 1 trở thành điểm nghẽn. Singapore (Tier 1+2) cho thấy</w:t>
      </w:r>
      <w:r>
        <w:t xml:space="preserve"> </w:t>
      </w:r>
      <w:r>
        <w:rPr>
          <w:bCs/>
          <w:b/>
        </w:rPr>
        <w:t xml:space="preserve">mở rộng có điều kiện</w:t>
      </w:r>
      <w:r>
        <w:t xml:space="preserve">: tương tác DAI×</w:t>
      </w:r>
      <m:oMath>
        <m:sSup>
          <m:e>
            <m:r>
              <m:rPr>
                <m:nor/>
                <m:sty m:val="p"/>
              </m:rPr>
              <m:t>FSTS</m:t>
            </m:r>
          </m:e>
          <m:sup>
            <m:r>
              <m:t>2</m:t>
            </m:r>
          </m:sup>
        </m:sSup>
      </m:oMath>
      <w:r>
        <w:t xml:space="preserve"> </w:t>
      </w:r>
      <w:r>
        <w:t xml:space="preserve">dương mạnh (β = 3,119, p = 0,005), Tier 1+2 là đòn bẩy.</w:t>
      </w:r>
    </w:p>
    <w:p>
      <w:pPr>
        <w:pStyle w:val="BodyText"/>
      </w:pPr>
      <w:r>
        <w:rPr>
          <w:bCs/>
          <w:b/>
        </w:rPr>
        <w:t xml:space="preserve">(c) Vai trò TCI</w:t>
      </w:r>
      <w:r>
        <w:t xml:space="preserve">: Việt Nam,</w:t>
      </w:r>
      <w:r>
        <w:t xml:space="preserve"> </w:t>
      </w:r>
      <w:r>
        <w:rPr>
          <w:iCs/>
          <w:i/>
        </w:rPr>
        <w:t xml:space="preserve">lợi thế khan hiếm</w:t>
      </w:r>
      <w:r>
        <w:t xml:space="preserve"> </w:t>
      </w:r>
      <w:r>
        <w:t xml:space="preserve">(TCI z biến công cụ β = 1,639, p &lt; 0,001, ước lượng 2SLS vững). Singapore,</w:t>
      </w:r>
      <w:r>
        <w:t xml:space="preserve"> </w:t>
      </w:r>
      <w:r>
        <w:rPr>
          <w:iCs/>
          <w:i/>
        </w:rPr>
        <w:t xml:space="preserve">yếu tố vệ sinh</w:t>
      </w:r>
      <w:r>
        <w:t xml:space="preserve"> </w:t>
      </w:r>
      <w:r>
        <w:t xml:space="preserve">nâng sàn năng suất nhưng không điều tiết đường cong quốc tế hóa - hiệu quả.</w:t>
      </w:r>
    </w:p>
    <w:p>
      <w:r>
        <w:pict>
          <v:rect style="width:0;height:1.5pt" o:hralign="center" o:hrstd="t" o:hr="t"/>
        </w:pict>
      </w:r>
    </w:p>
    <w:bookmarkEnd w:id="39"/>
    <w:bookmarkEnd w:id="40"/>
    <w:bookmarkStart w:id="45" w:name="khung-phân-loại-thể-chế-icrv"/>
    <w:p>
      <w:pPr>
        <w:pStyle w:val="Heading3"/>
      </w:pPr>
      <w:r>
        <w:t xml:space="preserve">2.3.2 Khung phân loại thể chế ICRV</w:t>
      </w:r>
    </w:p>
    <w:bookmarkStart w:id="41" w:name="lý-do-phân-loại"/>
    <w:p>
      <w:pPr>
        <w:pStyle w:val="Heading4"/>
      </w:pPr>
      <w:r>
        <w:t xml:space="preserve">2.3.2.1 Lý do phân loại</w:t>
      </w:r>
    </w:p>
    <w:p>
      <w:pPr>
        <w:pStyle w:val="FirstParagraph"/>
      </w:pPr>
      <w:r>
        <w:t xml:space="preserve">Châu Á không phải là một khối đồng nhất về thể chế. Các meta-analysis (Marano et al., 2016; Wu et al., 2022) đã ghi nhận rằng bối cảnh thể chế là biến điều tiết quan trọng nhất trong quan hệ quốc tế hóa - hiệu quả, nhưng không có nghiên cứu nào thiết lập hệ thống phân loại thể chế toàn diện cho 47 nền kinh tế châu Á. Khung phân loại ICRV (Institutional Context Regime Variation, Biến thiên chế độ thể chế) được đề xuất trong chuyên đề này nhằm lấp khoảng trống đó, dựa trên bốn nguyên tắc:</w:t>
      </w:r>
    </w:p>
    <w:p>
      <w:pPr>
        <w:numPr>
          <w:ilvl w:val="0"/>
          <w:numId w:val="1006"/>
        </w:numPr>
      </w:pPr>
      <w:r>
        <w:rPr>
          <w:bCs/>
          <w:b/>
        </w:rPr>
        <w:t xml:space="preserve">Tính phân biệt</w:t>
      </w:r>
      <w:r>
        <w:t xml:space="preserve">: mỗi nhóm phải có mô hình hiệu quả doanh nghiệp khác biệt thực sự, không chỉ khác nhau về mức GDP bình quân đầu người;</w:t>
      </w:r>
    </w:p>
    <w:p>
      <w:pPr>
        <w:numPr>
          <w:ilvl w:val="0"/>
          <w:numId w:val="1006"/>
        </w:numPr>
      </w:pP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p>
      <w:pPr>
        <w:numPr>
          <w:ilvl w:val="0"/>
          <w:numId w:val="1006"/>
        </w:numPr>
      </w:pPr>
      <w:r>
        <w:rPr>
          <w:bCs/>
          <w:b/>
        </w:rPr>
        <w:t xml:space="preserve">Tính khả dụng dữ liệu</w:t>
      </w:r>
      <w:r>
        <w:t xml:space="preserve">: mỗi nhóm phải có đủ quan sát WBES để phân tích có ý nghĩa thống kê (tối thiểu 500 doanh nghiệp);</w:t>
      </w:r>
    </w:p>
    <w:p>
      <w:pPr>
        <w:numPr>
          <w:ilvl w:val="0"/>
          <w:numId w:val="1006"/>
        </w:numPr>
      </w:pPr>
      <w:r>
        <w:rPr>
          <w:bCs/>
          <w:b/>
        </w:rPr>
        <w:t xml:space="preserve">Tính minh bạch và tái tạo</w:t>
      </w:r>
      <w:r>
        <w:t xml:space="preserve">: tiêu chí phân loại phải rõ ràng và có thể áp dụng nhất quán.</w:t>
      </w:r>
    </w:p>
    <w:bookmarkEnd w:id="41"/>
    <w:bookmarkStart w:id="42" w:name="tiêu-chí-phân-loại-sáu-nhóm"/>
    <w:p>
      <w:pPr>
        <w:pStyle w:val="Heading4"/>
      </w:pPr>
      <w:r>
        <w:t xml:space="preserve">2.3.2.2 Tiêu chí phân loại sáu nhóm</w:t>
      </w:r>
    </w:p>
    <w:p>
      <w:pPr>
        <w:pStyle w:val="FirstParagraph"/>
      </w:pPr>
      <w:r>
        <w:rPr>
          <w:bCs/>
          <w:b/>
        </w:rPr>
        <w:t xml:space="preserve">Nhóm I,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p>
      <w:pPr>
        <w:pStyle w:val="BodyText"/>
      </w:pPr>
      <w:r>
        <w:rPr>
          <w:bCs/>
          <w:b/>
        </w:rPr>
        <w:t xml:space="preserve">Nhóm II, Advanced tài nguyên dẫn dắt</w:t>
      </w:r>
      <w:r>
        <w:t xml:space="preserve">: WGI Rule of Law trung bình (+0,00 đến +0,50); GNI bình quân đầu người &gt;20.000 USD; GDP tăng trưởng dựa trên xuất khẩu tài nguyên thiên nhiên (dầu mỏ, khí đốt, khoáng sản). Bằng chứng WBES: FDI cao hướng khai thác tài nguyên, độ lệch chuẩn log năng suất thấp (~0,49, đặc trưng nhà nước tô).</w:t>
      </w:r>
    </w:p>
    <w:p>
      <w:pPr>
        <w:pStyle w:val="BodyText"/>
      </w:pPr>
      <w:r>
        <w:rPr>
          <w:bCs/>
          <w:b/>
        </w:rPr>
        <w:t xml:space="preserve">Nhóm III, Trung bình cao (Upper-middle)</w:t>
      </w:r>
      <w:r>
        <w:t xml:space="preserve">: WGI Rule of Law 0,00 đến +0,80; GNI bình quân đầu người 5.000-20.000 USD; nền kinh tế chuyển đổi từ sản xuất sang dịch vụ, với R&amp;D đang tăng (đặc biệt Trung Quốc). Pattern WBES: FSTS sản xuất cao, R&amp;D tăng mạnh giai đoạn 2018-2025 (+21,5 điểm phần trăm).</w:t>
      </w:r>
    </w:p>
    <w:p>
      <w:pPr>
        <w:pStyle w:val="BodyText"/>
      </w:pPr>
      <w:r>
        <w:rPr>
          <w:bCs/>
          <w:b/>
        </w:rPr>
        <w:t xml:space="preserve">Nhóm IV, Đang nổi (Emerging)</w:t>
      </w:r>
      <w:r>
        <w:t xml:space="preserve">: WGI Rule of Law -0,50 đến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p>
      <w:pPr>
        <w:pStyle w:val="BodyText"/>
      </w:pPr>
      <w:r>
        <w:rPr>
          <w:bCs/>
          <w:b/>
        </w:rPr>
        <w:t xml:space="preserve">Nhóm V, Cận biên (Frontier)</w:t>
      </w:r>
      <w:r>
        <w:t xml:space="preserve">: WGI Rule of Law &lt; -0,50; GNI bình quân đầu người &lt;1.000 hoặc &lt;3.000 USD với khoảng trống thể chế (institutional voids)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p>
      <w:pPr>
        <w:pStyle w:val="BodyTex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do MNE du lịch); đổi mới sản phẩm cao nhất (41,5%, đổi mới bằng nguồn lực hạn chế); website cao ngoại trừ Kiribati (18,7%).</w:t>
      </w:r>
    </w:p>
    <w:bookmarkEnd w:id="42"/>
    <w:bookmarkStart w:id="43" w:name="danh-sách-47-nền-kinh-tế-theo-nhóm-icrv"/>
    <w:p>
      <w:pPr>
        <w:pStyle w:val="Heading4"/>
      </w:pPr>
      <w:r>
        <w:t xml:space="preserve">2.3.2.3 Danh sách 47 nền kinh tế theo nhóm ICRV</w:t>
      </w:r>
    </w:p>
    <w:p>
      <w:pPr>
        <w:pStyle w:val="FirstParagraph"/>
      </w:pPr>
      <w:r>
        <w:rPr>
          <w:bCs/>
          <w:b/>
        </w:rPr>
        <w:t xml:space="preserve">Bảng 2.3.2.1</w:t>
      </w:r>
      <w:r>
        <w:t xml:space="preserve">.</w:t>
      </w:r>
      <w:r>
        <w:t xml:space="preserve"> </w:t>
      </w:r>
      <w:r>
        <w:rPr>
          <w:iCs/>
          <w:i/>
        </w:rPr>
        <w:t xml:space="preserve">Phân loại 47 nền kinh tế vào 6 nhóm ICRV, tiêu chí và số doanh nghiệp.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Quốc gia</w:t>
            </w:r>
          </w:p>
        </w:tc>
        <w:tc>
          <w:tcPr/>
          <w:p>
            <w:pPr>
              <w:pStyle w:val="Compact"/>
              <w:jc w:val="left"/>
            </w:pPr>
            <w:r>
              <w:t xml:space="preserve">n_firms (ước tính)</w:t>
            </w:r>
          </w:p>
        </w:tc>
      </w:tr>
      <w:tr>
        <w:tc>
          <w:tcPr/>
          <w:p>
            <w:pPr>
              <w:pStyle w:val="Compact"/>
              <w:jc w:val="left"/>
            </w:pPr>
            <w:r>
              <w:rPr>
                <w:bCs/>
                <w:b/>
              </w:rPr>
              <w:t xml:space="preserve">I</w:t>
            </w:r>
          </w:p>
        </w:tc>
        <w:tc>
          <w:tcPr/>
          <w:p>
            <w:pPr>
              <w:pStyle w:val="Compact"/>
              <w:jc w:val="left"/>
            </w:pPr>
            <w:r>
              <w:t xml:space="preserve">Advanced, innovation-driven</w:t>
            </w:r>
          </w:p>
        </w:tc>
        <w:tc>
          <w:tcPr/>
          <w:p>
            <w:pPr>
              <w:pStyle w:val="Compact"/>
              <w:jc w:val="left"/>
            </w:pPr>
            <w:r>
              <w:t xml:space="preserve">Singapore, Hong Kong SAR, Hàn Quốc, Đài Loan, Israel</w:t>
            </w:r>
          </w:p>
        </w:tc>
        <w:tc>
          <w:tcPr/>
          <w:p>
            <w:pPr>
              <w:pStyle w:val="Compact"/>
              <w:jc w:val="left"/>
            </w:pPr>
            <w:r>
              <w:t xml:space="preserve">~4.708</w:t>
            </w:r>
          </w:p>
        </w:tc>
      </w:tr>
      <w:tr>
        <w:tc>
          <w:tcPr/>
          <w:p>
            <w:pPr>
              <w:pStyle w:val="Compact"/>
              <w:jc w:val="left"/>
            </w:pPr>
            <w:r>
              <w:rPr>
                <w:bCs/>
                <w:b/>
              </w:rPr>
              <w:t xml:space="preserve">II</w:t>
            </w:r>
          </w:p>
        </w:tc>
        <w:tc>
          <w:tcPr/>
          <w:p>
            <w:pPr>
              <w:pStyle w:val="Compact"/>
              <w:jc w:val="left"/>
            </w:pPr>
            <w:r>
              <w:t xml:space="preserve">Advanced, resource-driven</w:t>
            </w:r>
          </w:p>
        </w:tc>
        <w:tc>
          <w:tcPr/>
          <w:p>
            <w:pPr>
              <w:pStyle w:val="Compact"/>
              <w:jc w:val="left"/>
            </w:pPr>
            <w:r>
              <w:t xml:space="preserve">Saudi Arabia, Qatar, Kuwait, Bahrain, Brunei</w:t>
            </w:r>
          </w:p>
        </w:tc>
        <w:tc>
          <w:tcPr/>
          <w:p>
            <w:pPr>
              <w:pStyle w:val="Compact"/>
              <w:jc w:val="left"/>
            </w:pPr>
            <w:r>
              <w:t xml:space="preserve">~1.932</w:t>
            </w:r>
          </w:p>
        </w:tc>
      </w:tr>
      <w:tr>
        <w:tc>
          <w:tcPr/>
          <w:p>
            <w:pPr>
              <w:pStyle w:val="Compact"/>
              <w:jc w:val="left"/>
            </w:pPr>
            <w:r>
              <w:rPr>
                <w:bCs/>
                <w:b/>
              </w:rPr>
              <w:t xml:space="preserve">III</w:t>
            </w:r>
          </w:p>
        </w:tc>
        <w:tc>
          <w:tcPr/>
          <w:p>
            <w:pPr>
              <w:pStyle w:val="Compact"/>
              <w:jc w:val="left"/>
            </w:pPr>
            <w:r>
              <w:t xml:space="preserve">Upper-middle</w:t>
            </w:r>
          </w:p>
        </w:tc>
        <w:tc>
          <w:tcPr/>
          <w:p>
            <w:pPr>
              <w:pStyle w:val="Compact"/>
              <w:jc w:val="left"/>
            </w:pPr>
            <w:r>
              <w:t xml:space="preserve">Trung Quốc, Malaysia, Thái Lan, Kazakhstan, Armenia, Georgia</w:t>
            </w:r>
          </w:p>
        </w:tc>
        <w:tc>
          <w:tcPr/>
          <w:p>
            <w:pPr>
              <w:pStyle w:val="Compact"/>
              <w:jc w:val="left"/>
            </w:pPr>
            <w:r>
              <w:t xml:space="preserve">~16.693</w:t>
            </w:r>
          </w:p>
        </w:tc>
      </w:tr>
      <w:tr>
        <w:tc>
          <w:tcPr/>
          <w:p>
            <w:pPr>
              <w:pStyle w:val="Compact"/>
              <w:jc w:val="left"/>
            </w:pPr>
            <w:r>
              <w:rPr>
                <w:bCs/>
                <w:b/>
              </w:rPr>
              <w:t xml:space="preserve">IV</w:t>
            </w:r>
          </w:p>
        </w:tc>
        <w:tc>
          <w:tcPr/>
          <w:p>
            <w:pPr>
              <w:pStyle w:val="Compact"/>
              <w:jc w:val="left"/>
            </w:pPr>
            <w:r>
              <w:t xml:space="preserve">Emerging</w:t>
            </w:r>
          </w:p>
        </w:tc>
        <w:tc>
          <w:tcPr/>
          <w:p>
            <w:pPr>
              <w:pStyle w:val="Compact"/>
              <w:jc w:val="left"/>
            </w:pPr>
            <w:r>
              <w:t xml:space="preserve">Việt Nam, Indonesia, Philippines, Ấn Độ, Sri Lanka, Jordan, Mông Cổ</w:t>
            </w:r>
          </w:p>
        </w:tc>
        <w:tc>
          <w:tcPr/>
          <w:p>
            <w:pPr>
              <w:pStyle w:val="Compact"/>
              <w:jc w:val="left"/>
            </w:pPr>
            <w:r>
              <w:t xml:space="preserve">~47.803</w:t>
            </w:r>
          </w:p>
        </w:tc>
      </w:tr>
      <w:tr>
        <w:tc>
          <w:tcPr/>
          <w:p>
            <w:pPr>
              <w:pStyle w:val="Compact"/>
              <w:jc w:val="left"/>
            </w:pPr>
            <w:r>
              <w:rPr>
                <w:bCs/>
                <w:b/>
              </w:rPr>
              <w:t xml:space="preserve">V</w:t>
            </w:r>
          </w:p>
        </w:tc>
        <w:tc>
          <w:tcPr/>
          <w:p>
            <w:pPr>
              <w:pStyle w:val="Compact"/>
              <w:jc w:val="left"/>
            </w:pPr>
            <w:r>
              <w:t xml:space="preserve">Frontier</w:t>
            </w:r>
          </w:p>
        </w:tc>
        <w:tc>
          <w:tcPr/>
          <w:p>
            <w:pPr>
              <w:pStyle w:val="Compact"/>
              <w:jc w:val="left"/>
            </w:pPr>
            <w:r>
              <w:t xml:space="preserve">Bangladesh, Pakistan, Lào, Campuchia, Myanmar, Nepal, Bhutan, Maldives, Uzbekistan, Tajikistan, Kyrgyz Republic, Turkmenistan, Afghanistan, Timor-Leste, Iraq, Lebanon, Yemen</w:t>
            </w:r>
          </w:p>
        </w:tc>
        <w:tc>
          <w:tcPr/>
          <w:p>
            <w:pPr>
              <w:pStyle w:val="Compact"/>
              <w:jc w:val="left"/>
            </w:pPr>
            <w:r>
              <w:t xml:space="preserve">~28.678</w:t>
            </w:r>
          </w:p>
        </w:tc>
      </w:tr>
      <w:tr>
        <w:tc>
          <w:tcPr/>
          <w:p>
            <w:pPr>
              <w:pStyle w:val="Compact"/>
              <w:jc w:val="left"/>
            </w:pPr>
            <w:r>
              <w:rPr>
                <w:bCs/>
                <w:b/>
              </w:rPr>
              <w:t xml:space="preserve">VI</w:t>
            </w:r>
          </w:p>
        </w:tc>
        <w:tc>
          <w:tcPr/>
          <w:p>
            <w:pPr>
              <w:pStyle w:val="Compact"/>
              <w:jc w:val="left"/>
            </w:pPr>
            <w:r>
              <w:t xml:space="preserve">SIDS Pacific (boundary)</w:t>
            </w:r>
          </w:p>
        </w:tc>
        <w:tc>
          <w:tcPr/>
          <w:p>
            <w:pPr>
              <w:pStyle w:val="Compact"/>
              <w:jc w:val="left"/>
            </w:pPr>
            <w:r>
              <w:t xml:space="preserve">Fiji, Papua New Guinea, Solomon Islands, Tonga, Vanuatu, Samoa, Kiribati</w:t>
            </w:r>
          </w:p>
        </w:tc>
        <w:tc>
          <w:tcPr/>
          <w:p>
            <w:pPr>
              <w:pStyle w:val="Compact"/>
              <w:jc w:val="left"/>
            </w:pPr>
            <w:r>
              <w:t xml:space="preserve">~1.371</w:t>
            </w:r>
          </w:p>
        </w:tc>
      </w:tr>
      <w:tr>
        <w:tc>
          <w:tcPr/>
          <w:p>
            <w:pPr>
              <w:pStyle w:val="Compact"/>
              <w:jc w:val="left"/>
            </w:pPr>
            <w:r>
              <w:rPr>
                <w:bCs/>
                <w:b/>
              </w:rPr>
              <w:t xml:space="preserve">Tổng</w:t>
            </w:r>
          </w:p>
        </w:tc>
        <w:tc>
          <w:tcPr/>
          <w:p>
            <w:pPr>
              <w:pStyle w:val="Compact"/>
            </w:pPr>
          </w:p>
        </w:tc>
        <w:tc>
          <w:tcPr/>
          <w:p>
            <w:pPr>
              <w:pStyle w:val="Compact"/>
              <w:jc w:val="left"/>
            </w:pPr>
            <w:r>
              <w:t xml:space="preserve">47 nền kinh tế</w:t>
            </w:r>
          </w:p>
        </w:tc>
        <w:tc>
          <w:tcPr/>
          <w:p>
            <w:pPr>
              <w:pStyle w:val="Compact"/>
              <w:jc w:val="left"/>
            </w:pPr>
            <w:r>
              <w:rPr>
                <w:bCs/>
                <w:b/>
              </w:rPr>
              <w:t xml:space="preserve">101.185</w:t>
            </w:r>
          </w:p>
        </w:tc>
      </w:tr>
    </w:tbl>
    <w:p>
      <w:pPr>
        <w:pStyle w:val="BodyText"/>
      </w:pPr>
      <w:r>
        <w:rPr>
          <w:iCs/>
          <w:i/>
        </w:rPr>
        <w:t xml:space="preserve">Ghi chú: n_firms là phân bố theo pool 101.185; tổng 5 nhóm chính (I-V) = 99.814 (phạm vi chính 41 nước châu Á); SIDS Nhóm VI = 1.371 (1,4% pool). Nhóm Advanced (I + II = 6.640) lấy từ pool WBES đã hài hòa hóa; tỷ lệ innovation/resource là xấp xỉ, hao hụt do thiếu dữ liệu năng suất chi tiết ở Bảng 2.3.3.1 (mẫu phân tích Advanced gộp = 5.921).</w:t>
      </w:r>
    </w:p>
    <w:bookmarkEnd w:id="43"/>
    <w:bookmarkStart w:id="44" w:name="đặc-điểm-các-nhóm-icrv"/>
    <w:p>
      <w:pPr>
        <w:pStyle w:val="Heading4"/>
      </w:pPr>
      <w:r>
        <w:t xml:space="preserve">2.3.2.4 Đặc điểm các nhóm ICRV</w:t>
      </w:r>
    </w:p>
    <w:p>
      <w:pPr>
        <w:pStyle w:val="FirstParagraph"/>
      </w:pPr>
      <w:r>
        <w:rPr>
          <w:bCs/>
          <w:b/>
        </w:rPr>
        <w:t xml:space="preserve">Bảng 2.3.2.2</w:t>
      </w:r>
      <w:r>
        <w:t xml:space="preserve">.</w:t>
      </w:r>
      <w:r>
        <w:t xml:space="preserve"> </w:t>
      </w:r>
      <w:r>
        <w:rPr>
          <w:iCs/>
          <w:i/>
        </w:rPr>
        <w:t xml:space="preserve">Đặc điểm điển hình của 6 nhóm ICRV, WGI, GNI, cơ chế tăng trưởng, pattern WBES dự kiến.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w:t>
            </w:r>
          </w:p>
        </w:tc>
        <w:tc>
          <w:tcPr/>
          <w:p>
            <w:pPr>
              <w:pStyle w:val="Compact"/>
              <w:jc w:val="left"/>
            </w:pPr>
            <w:r>
              <w:t xml:space="preserve">WGI Rule of Law</w:t>
            </w:r>
          </w:p>
        </w:tc>
        <w:tc>
          <w:tcPr/>
          <w:p>
            <w:pPr>
              <w:pStyle w:val="Compact"/>
              <w:jc w:val="left"/>
            </w:pPr>
            <w:r>
              <w:t xml:space="preserve">GNI/capita</w:t>
            </w:r>
          </w:p>
        </w:tc>
        <w:tc>
          <w:tcPr/>
          <w:p>
            <w:pPr>
              <w:pStyle w:val="Compact"/>
              <w:jc w:val="left"/>
            </w:pPr>
            <w:r>
              <w:t xml:space="preserve">Cơ chế tăng trưởng</w:t>
            </w:r>
          </w:p>
        </w:tc>
        <w:tc>
          <w:tcPr/>
          <w:p>
            <w:pPr>
              <w:pStyle w:val="Compact"/>
              <w:jc w:val="left"/>
            </w:pPr>
            <w:r>
              <w:t xml:space="preserve">FSTS dự kiến</w:t>
            </w:r>
          </w:p>
        </w:tc>
        <w:tc>
          <w:tcPr/>
          <w:p>
            <w:pPr>
              <w:pStyle w:val="Compact"/>
              <w:jc w:val="left"/>
            </w:pPr>
            <w:r>
              <w:t xml:space="preserve">sd log LP</w:t>
            </w:r>
          </w:p>
        </w:tc>
        <w:tc>
          <w:tcPr/>
          <w:p>
            <w:pPr>
              <w:pStyle w:val="Compact"/>
              <w:jc w:val="left"/>
            </w:pPr>
            <w:r>
              <w:t xml:space="preserve">Cơ chế quốc tế hóa - hiệu quả</w:t>
            </w:r>
          </w:p>
        </w:tc>
      </w:tr>
      <w:tr>
        <w:tc>
          <w:tcPr/>
          <w:p>
            <w:pPr>
              <w:pStyle w:val="Compact"/>
              <w:jc w:val="left"/>
            </w:pPr>
            <w:r>
              <w:t xml:space="preserve">I, Innovation</w:t>
            </w:r>
          </w:p>
        </w:tc>
        <w:tc>
          <w:tcPr/>
          <w:p>
            <w:pPr>
              <w:pStyle w:val="Compact"/>
              <w:jc w:val="left"/>
            </w:pPr>
            <w:r>
              <w:t xml:space="preserve">&gt;+0,80</w:t>
            </w:r>
          </w:p>
        </w:tc>
        <w:tc>
          <w:tcPr/>
          <w:p>
            <w:pPr>
              <w:pStyle w:val="Compact"/>
              <w:jc w:val="left"/>
            </w:pPr>
            <w:r>
              <w:t xml:space="preserve">&gt;$30k</w:t>
            </w:r>
          </w:p>
        </w:tc>
        <w:tc>
          <w:tcPr/>
          <w:p>
            <w:pPr>
              <w:pStyle w:val="Compact"/>
              <w:jc w:val="left"/>
            </w:pPr>
            <w:r>
              <w:t xml:space="preserve">R&amp;D + dịch vụ tri thức</w:t>
            </w:r>
          </w:p>
        </w:tc>
        <w:tc>
          <w:tcPr/>
          <w:p>
            <w:pPr>
              <w:pStyle w:val="Compact"/>
              <w:jc w:val="left"/>
            </w:pPr>
            <w:r>
              <w:t xml:space="preserve">Trung bình (6-15%)</w:t>
            </w:r>
          </w:p>
        </w:tc>
        <w:tc>
          <w:tcPr/>
          <w:p>
            <w:pPr>
              <w:pStyle w:val="Compact"/>
              <w:jc w:val="left"/>
            </w:pPr>
            <w:r>
              <w:t xml:space="preserve">~1,03</w:t>
            </w:r>
          </w:p>
        </w:tc>
        <w:tc>
          <w:tcPr/>
          <w:p>
            <w:pPr>
              <w:pStyle w:val="Compact"/>
              <w:jc w:val="left"/>
            </w:pPr>
            <w:r>
              <w:t xml:space="preserve">U ngược nhẹ / tuyến tính dương; điểm uốn ~82% (SG)</w:t>
            </w:r>
          </w:p>
        </w:tc>
      </w:tr>
      <w:tr>
        <w:tc>
          <w:tcPr/>
          <w:p>
            <w:pPr>
              <w:pStyle w:val="Compact"/>
              <w:jc w:val="left"/>
            </w:pPr>
            <w:r>
              <w:t xml:space="preserve">II, Resource</w:t>
            </w:r>
          </w:p>
        </w:tc>
        <w:tc>
          <w:tcPr/>
          <w:p>
            <w:pPr>
              <w:pStyle w:val="Compact"/>
              <w:jc w:val="left"/>
            </w:pPr>
            <w:r>
              <w:t xml:space="preserve">+0,00 đến +0,50</w:t>
            </w:r>
          </w:p>
        </w:tc>
        <w:tc>
          <w:tcPr/>
          <w:p>
            <w:pPr>
              <w:pStyle w:val="Compact"/>
              <w:jc w:val="left"/>
            </w:pPr>
            <w:r>
              <w:t xml:space="preserve">&gt;$20k</w:t>
            </w:r>
          </w:p>
        </w:tc>
        <w:tc>
          <w:tcPr/>
          <w:p>
            <w:pPr>
              <w:pStyle w:val="Compact"/>
              <w:jc w:val="left"/>
            </w:pPr>
            <w:r>
              <w:t xml:space="preserve">Xuất khẩu dầu/khí</w:t>
            </w:r>
          </w:p>
        </w:tc>
        <w:tc>
          <w:tcPr/>
          <w:p>
            <w:pPr>
              <w:pStyle w:val="Compact"/>
              <w:jc w:val="left"/>
            </w:pPr>
            <w:r>
              <w:t xml:space="preserve">Thấp (1-3%)</w:t>
            </w:r>
          </w:p>
        </w:tc>
        <w:tc>
          <w:tcPr/>
          <w:p>
            <w:pPr>
              <w:pStyle w:val="Compact"/>
              <w:jc w:val="left"/>
            </w:pPr>
            <w:r>
              <w:t xml:space="preserve">~0,49</w:t>
            </w:r>
          </w:p>
        </w:tc>
        <w:tc>
          <w:tcPr/>
          <w:p>
            <w:pPr>
              <w:pStyle w:val="Compact"/>
              <w:jc w:val="left"/>
            </w:pPr>
            <w:r>
              <w:t xml:space="preserve">Phi tuyến suy yếu; nhà nước tô phân phối lại</w:t>
            </w:r>
          </w:p>
        </w:tc>
      </w:tr>
      <w:tr>
        <w:tc>
          <w:tcPr/>
          <w:p>
            <w:pPr>
              <w:pStyle w:val="Compact"/>
              <w:jc w:val="left"/>
            </w:pPr>
            <w:r>
              <w:t xml:space="preserve">III, Upper-mid</w:t>
            </w:r>
          </w:p>
        </w:tc>
        <w:tc>
          <w:tcPr/>
          <w:p>
            <w:pPr>
              <w:pStyle w:val="Compact"/>
              <w:jc w:val="left"/>
            </w:pPr>
            <w:r>
              <w:t xml:space="preserve">0,00 đến +0,80</w:t>
            </w:r>
          </w:p>
        </w:tc>
        <w:tc>
          <w:tcPr/>
          <w:p>
            <w:pPr>
              <w:pStyle w:val="Compact"/>
              <w:jc w:val="left"/>
            </w:pPr>
            <w:r>
              <w:t xml:space="preserve">$5k–$20k</w:t>
            </w:r>
          </w:p>
        </w:tc>
        <w:tc>
          <w:tcPr/>
          <w:p>
            <w:pPr>
              <w:pStyle w:val="Compact"/>
              <w:jc w:val="left"/>
            </w:pPr>
            <w:r>
              <w:t xml:space="preserve">Sản xuất + chuyển đổi</w:t>
            </w:r>
          </w:p>
        </w:tc>
        <w:tc>
          <w:tcPr/>
          <w:p>
            <w:pPr>
              <w:pStyle w:val="Compact"/>
              <w:jc w:val="left"/>
            </w:pPr>
            <w:r>
              <w:t xml:space="preserve">Trung bình (8-12%)</w:t>
            </w:r>
          </w:p>
        </w:tc>
        <w:tc>
          <w:tcPr/>
          <w:p>
            <w:pPr>
              <w:pStyle w:val="Compact"/>
              <w:jc w:val="left"/>
            </w:pPr>
            <w:r>
              <w:t xml:space="preserve">~1,29</w:t>
            </w:r>
          </w:p>
        </w:tc>
        <w:tc>
          <w:tcPr/>
          <w:p>
            <w:pPr>
              <w:pStyle w:val="Compact"/>
              <w:jc w:val="left"/>
            </w:pPr>
            <w:r>
              <w:t xml:space="preserve">U ngược; điểm uốn ~47%</w:t>
            </w:r>
          </w:p>
        </w:tc>
      </w:tr>
      <w:tr>
        <w:tc>
          <w:tcPr/>
          <w:p>
            <w:pPr>
              <w:pStyle w:val="Compact"/>
              <w:jc w:val="left"/>
            </w:pPr>
            <w:r>
              <w:t xml:space="preserve">IV, Emerging</w:t>
            </w:r>
          </w:p>
        </w:tc>
        <w:tc>
          <w:tcPr/>
          <w:p>
            <w:pPr>
              <w:pStyle w:val="Compact"/>
              <w:jc w:val="left"/>
            </w:pPr>
            <w:r>
              <w:t xml:space="preserve">-0,50 đến 0,00</w:t>
            </w:r>
          </w:p>
        </w:tc>
        <w:tc>
          <w:tcPr/>
          <w:p>
            <w:pPr>
              <w:pStyle w:val="Compact"/>
              <w:jc w:val="left"/>
            </w:pPr>
            <w:r>
              <w:t xml:space="preserve">$1k–$5k</w:t>
            </w:r>
          </w:p>
        </w:tc>
        <w:tc>
          <w:tcPr/>
          <w:p>
            <w:pPr>
              <w:pStyle w:val="Compact"/>
              <w:jc w:val="left"/>
            </w:pPr>
            <w:r>
              <w:t xml:space="preserve">FDI-driven sản xuất</w:t>
            </w:r>
          </w:p>
        </w:tc>
        <w:tc>
          <w:tcPr/>
          <w:p>
            <w:pPr>
              <w:pStyle w:val="Compact"/>
              <w:jc w:val="left"/>
            </w:pPr>
            <w:r>
              <w:t xml:space="preserve">Biến động (7-23%)</w:t>
            </w:r>
          </w:p>
        </w:tc>
        <w:tc>
          <w:tcPr/>
          <w:p>
            <w:pPr>
              <w:pStyle w:val="Compact"/>
              <w:jc w:val="left"/>
            </w:pPr>
            <w:r>
              <w:t xml:space="preserve">~1,24</w:t>
            </w:r>
          </w:p>
        </w:tc>
        <w:tc>
          <w:tcPr/>
          <w:p>
            <w:pPr>
              <w:pStyle w:val="Compact"/>
              <w:jc w:val="left"/>
            </w:pPr>
            <w:r>
              <w:t xml:space="preserve">U ngược; điểm uốn 39-46% (VNM), bẫy chuyển hướng nguồn lực</w:t>
            </w:r>
          </w:p>
        </w:tc>
      </w:tr>
      <w:tr>
        <w:tc>
          <w:tcPr/>
          <w:p>
            <w:pPr>
              <w:pStyle w:val="Compact"/>
              <w:jc w:val="left"/>
            </w:pPr>
            <w:r>
              <w:t xml:space="preserve">V, Frontier</w:t>
            </w:r>
          </w:p>
        </w:tc>
        <w:tc>
          <w:tcPr/>
          <w:p>
            <w:pPr>
              <w:pStyle w:val="Compact"/>
              <w:jc w:val="left"/>
            </w:pPr>
            <w:r>
              <w:t xml:space="preserve">&lt;-0,50</w:t>
            </w:r>
          </w:p>
        </w:tc>
        <w:tc>
          <w:tcPr/>
          <w:p>
            <w:pPr>
              <w:pStyle w:val="Compact"/>
              <w:jc w:val="left"/>
            </w:pPr>
            <w:r>
              <w:t xml:space="preserve">&lt;$1k–$3k</w:t>
            </w:r>
          </w:p>
        </w:tc>
        <w:tc>
          <w:tcPr/>
          <w:p>
            <w:pPr>
              <w:pStyle w:val="Compact"/>
              <w:jc w:val="left"/>
            </w:pPr>
            <w:r>
              <w:t xml:space="preserve">Tự cấp + phi chính thức</w:t>
            </w:r>
          </w:p>
        </w:tc>
        <w:tc>
          <w:tcPr/>
          <w:p>
            <w:pPr>
              <w:pStyle w:val="Compact"/>
              <w:jc w:val="left"/>
            </w:pPr>
            <w:r>
              <w:t xml:space="preserve">Thấp-trung bình</w:t>
            </w:r>
          </w:p>
        </w:tc>
        <w:tc>
          <w:tcPr/>
          <w:p>
            <w:pPr>
              <w:pStyle w:val="Compact"/>
              <w:jc w:val="left"/>
            </w:pPr>
            <w:r>
              <w:t xml:space="preserve">~1,36</w:t>
            </w:r>
          </w:p>
        </w:tc>
        <w:tc>
          <w:tcPr/>
          <w:p>
            <w:pPr>
              <w:pStyle w:val="Compact"/>
              <w:jc w:val="left"/>
            </w:pPr>
            <w:r>
              <w:t xml:space="preserve">Yếu; khoảng trống thể chế dẫn đến đổi mới bằng nguồn lực hạn chế</w:t>
            </w:r>
          </w:p>
        </w:tc>
      </w:tr>
      <w:tr>
        <w:tc>
          <w:tcPr/>
          <w:p>
            <w:pPr>
              <w:pStyle w:val="Compact"/>
              <w:jc w:val="left"/>
            </w:pPr>
            <w:r>
              <w:t xml:space="preserve">VI, SIDS</w:t>
            </w:r>
          </w:p>
        </w:tc>
        <w:tc>
          <w:tcPr/>
          <w:p>
            <w:pPr>
              <w:pStyle w:val="Compact"/>
              <w:jc w:val="left"/>
            </w:pPr>
            <w:r>
              <w:t xml:space="preserve">Đặc biệt</w:t>
            </w:r>
          </w:p>
        </w:tc>
        <w:tc>
          <w:tcPr/>
          <w:p>
            <w:pPr>
              <w:pStyle w:val="Compact"/>
              <w:jc w:val="left"/>
            </w:pPr>
            <w:r>
              <w:t xml:space="preserve">$1k–$8k</w:t>
            </w:r>
          </w:p>
        </w:tc>
        <w:tc>
          <w:tcPr/>
          <w:p>
            <w:pPr>
              <w:pStyle w:val="Compact"/>
              <w:jc w:val="left"/>
            </w:pPr>
            <w:r>
              <w:t xml:space="preserve">MIRAB + du lịch</w:t>
            </w:r>
          </w:p>
        </w:tc>
        <w:tc>
          <w:tcPr/>
          <w:p>
            <w:pPr>
              <w:pStyle w:val="Compact"/>
              <w:jc w:val="left"/>
            </w:pPr>
            <w:r>
              <w:t xml:space="preserve">Rất thấp (1-12%)</w:t>
            </w:r>
          </w:p>
        </w:tc>
        <w:tc>
          <w:tcPr/>
          <w:p>
            <w:pPr>
              <w:pStyle w:val="Compact"/>
              <w:jc w:val="left"/>
            </w:pPr>
            <w:r>
              <w:t xml:space="preserve">~1,32</w:t>
            </w:r>
          </w:p>
        </w:tc>
        <w:tc>
          <w:tcPr/>
          <w:p>
            <w:pPr>
              <w:pStyle w:val="Compact"/>
              <w:jc w:val="left"/>
            </w:pPr>
            <w:r>
              <w:t xml:space="preserve">Chi phí buộc phải quốc tế hóa, U-curve không vận hành</w:t>
            </w:r>
          </w:p>
        </w:tc>
      </w:tr>
    </w:tbl>
    <w:p>
      <w:pPr>
        <w:pStyle w:val="BodyText"/>
      </w:pPr>
      <w:r>
        <w:rPr>
          <w:iCs/>
          <w:i/>
        </w:rPr>
        <w:t xml:space="preserve">Nguồn: Tổng hợp từ World Bank Enterprise Surveys (2025); WGI từ Kaufmann et al. (2011); GNI từ World Bank (2025, tháng 7). Pattern WBES từ phân tích Chương 4 và Đỗ &amp; Phan.</w:t>
      </w:r>
    </w:p>
    <w:p>
      <w:r>
        <w:pict>
          <v:rect style="width:0;height:1.5pt" o:hralign="center" o:hrstd="t" o:hr="t"/>
        </w:pict>
      </w:r>
    </w:p>
    <w:bookmarkEnd w:id="44"/>
    <w:bookmarkEnd w:id="45"/>
    <w:bookmarkStart w:id="49" w:name="X71126d3a9cbef6cfbe4977212de66e8cb3d47a9"/>
    <w:p>
      <w:pPr>
        <w:pStyle w:val="Heading3"/>
      </w:pPr>
      <w:r>
        <w:t xml:space="preserve">2.3.3 Thực trạng năng suất lao động và quốc tế hóa</w:t>
      </w:r>
    </w:p>
    <w:bookmarkStart w:id="46" w:name="nguồn-dữ-liệu-và-cấu-trúc-pool"/>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VEFR), gấp ~2,5 lần. Phân bố theo phân nhóm con ICRV: Emerging 47.803 (47%), Frontier 28.678 (28%), Upper-middle 16.693 (17%), Advanced 6.640 (7%),</w:t>
      </w:r>
      <w:r>
        <w:t xml:space="preserve"> </w:t>
      </w:r>
      <w:r>
        <w:rPr>
          <w:bCs/>
          <w:b/>
        </w:rPr>
        <w:t xml:space="preserve">SIDS 1.371 (1,4%, bao gồm Kiribati 2025)</w:t>
      </w:r>
      <w:r>
        <w:t xml:space="preserve">. Có</w:t>
      </w:r>
      <w:r>
        <w:t xml:space="preserve"> </w:t>
      </w:r>
      <w:r>
        <w:rPr>
          <w:bCs/>
          <w:b/>
        </w:rPr>
        <w:t xml:space="preserve">14 quốc gia khảo sát năm 2025</w:t>
      </w:r>
      <w:r>
        <w:t xml:space="preserve"> </w:t>
      </w:r>
      <w:r>
        <w:t xml:space="preserve">với 17.053 doanh nghiệp (Nepal 2025 sử dụng BREADY Micro schema, n=1.740).</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17.053 doanh nghiệp = 16,9% pool (14 quốc gia, bao gồm Nepal 2025 BREADY Micro n=1.740).</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6"/>
    <w:bookmarkStart w:id="47" w:name="phân-tán-năng-suất-lao-động"/>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tỷ số phân tán Singapore (1,03) so với Vùng Vịnh (0,49)</w:t>
      </w:r>
      <w:r>
        <w:rPr>
          <w:iCs/>
          <w:i/>
        </w:rPr>
        <w:t xml:space="preserve"> </w:t>
      </w:r>
      <m:oMath>
        <m:r>
          <m:rPr>
            <m:sty m:val="p"/>
          </m:rPr>
          <m:t>≈</m:t>
        </m:r>
      </m:oMath>
      <w:r>
        <w:rPr>
          <w:iCs/>
          <w:i/>
        </w:rPr>
        <w:t xml:space="preserve"> </w:t>
      </w:r>
      <w:r>
        <w:rPr>
          <w:bCs/>
          <w:b/>
          <w:iCs/>
          <w:i/>
        </w:rPr>
        <w:t xml:space="preserve">2,1 lần</w:t>
      </w:r>
      <w:r>
        <w:rPr>
          <w:iCs/>
          <w:i/>
        </w:rPr>
        <w:t xml:space="preserve">. Hàng SIDS bao gồm Kiribati 2025 (n=150, độ lệch chuẩn log 1,48). n_firms trong bảng phản ánh mẫu phân tích sau khi loại bỏ giá trị thiếu cho biến năng suất (SIDS analytic n=1.097 so với pool đầy đủ n=1.371; chênh lệch 274 quan sát do thiếu dữ liệu doanh thu hoặc lao động).</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(1) Phân tán Advanced gộp giảm từ 1,00 xuống 0,86 sau khi bổ sung Vùng Vịnh, bằng chứng dị biệt nội bộ; (2) Frontier cao nhất,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 hiệu quả.</w:t>
      </w:r>
    </w:p>
    <w:bookmarkEnd w:id="47"/>
    <w:bookmarkStart w:id="48" w:name="Xcc3eee4fbea372afb82cb0ae0b2af37656e40ee"/>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8"/>
    <w:bookmarkEnd w:id="49"/>
    <w:bookmarkStart w:id="53" w:name="đổi-mới-sáng-tạo-và-năng-lực-số-hóa"/>
    <w:p>
      <w:pPr>
        <w:pStyle w:val="Heading3"/>
      </w:pPr>
      <w:r>
        <w:t xml:space="preserve">2.3.4 Đổi mới sáng tạo và năng lực số hóa</w:t>
      </w:r>
    </w:p>
    <w:bookmarkStart w:id="50" w:name="khung-5-lĩnh-vực-chỉ-số-wbes"/>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50"/>
    <w:bookmarkStart w:id="51" w:name="X9df516e2ada8dd6f1a571e4ad9b53ee8766fff4"/>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sáng tạo không chính thức để bù đắp cho thiếu hụt nguồn lực; website 58,9% vượt cả nhóm Emerging dù GNI thấp hơn đáng kể. Phân tách rõ TCI so với DAI, kế thừa Đỗ &amp; Phan (2026, VEFR).</w:t>
      </w:r>
    </w:p>
    <w:bookmarkEnd w:id="51"/>
    <w:bookmarkStart w:id="52" w:name="Xf9def7853091997378673ae7720d7322a439a73"/>
    <w:p>
      <w:pPr>
        <w:pStyle w:val="Heading4"/>
      </w:pPr>
      <w:r>
        <w:t xml:space="preserve">2.3.4.3 Tái định hình Chỉ số áp dụng số,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w:t>
      </w:r>
      <w:r>
        <w:t xml:space="preserve"> </w:t>
      </w:r>
      <w:r>
        <w:t xml:space="preserve">“</w:t>
      </w:r>
      <w:r>
        <w:t xml:space="preserve">số hóa làm giảm năng suất ở Singapore/Hàn Quốc</w:t>
      </w:r>
      <w:r>
        <w:t xml:space="preserve">”</w:t>
      </w:r>
      <w:r>
        <w:t xml:space="preserve">,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cung cấp bằng chứng cho</w:t>
      </w:r>
      <w:r>
        <w:t xml:space="preserve"> </w:t>
      </w:r>
      <w:r>
        <w:rPr>
          <w:bCs/>
          <w:b/>
        </w:rPr>
        <w:t xml:space="preserve">bão hòa Tier-1 ở các nước tiên tiến</w:t>
      </w:r>
      <w:r>
        <w:t xml:space="preserve">, website không còn phân biệt năng suất vì hầu hết đã có website từ lâu. Do đó biến Spec 1 được đổi tên chính xác hơn thành</w:t>
      </w:r>
      <w:r>
        <w:t xml:space="preserve"> </w:t>
      </w:r>
      <w:r>
        <w:rPr>
          <w:bCs/>
          <w:b/>
        </w:rPr>
        <w:t xml:space="preserve">“</w:t>
      </w:r>
      <w:r>
        <w:rPr>
          <w:bCs/>
          <w:b/>
        </w:rPr>
        <w:t xml:space="preserve">Sự hiện diện số cơ bản (Tier-1)</w:t>
      </w:r>
      <w:r>
        <w:rPr>
          <w:bCs/>
          <w:b/>
        </w:rPr>
        <w:t xml:space="preserve">”</w:t>
      </w:r>
      <w:r>
        <w:t xml:space="preserve">, phạm vi khiêm tốn và phản ánh đúng thực tế đo lường.</w:t>
      </w:r>
    </w:p>
    <w:p>
      <w:r>
        <w:pict>
          <v:rect style="width:0;height:1.5pt" o:hralign="center" o:hrstd="t" o:hr="t"/>
        </w:pict>
      </w:r>
    </w:p>
    <w:bookmarkEnd w:id="52"/>
    <w:bookmarkEnd w:id="53"/>
    <w:bookmarkStart w:id="56" w:name="cấu-trúc-doanh-nghiệp"/>
    <w:p>
      <w:pPr>
        <w:pStyle w:val="Heading3"/>
      </w:pPr>
      <w:r>
        <w:t xml:space="preserve">2.3.5 Cấu trúc doanh nghiệp</w:t>
      </w:r>
    </w:p>
    <w:bookmarkStart w:id="54" w:name="phân-bố-quy-mô-và-sở-hữu"/>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w:t>
            </w:r>
            <w:r>
              <w:t xml:space="preserve">$10%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54"/>
    <w:bookmarkStart w:id="55" w:name="X82630701712868d6b2736fccbaf4389d2963e4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khoảng trống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khoảng trống thể chế tại Frontier giải thích tại sao quan hệ quốc tế hóa - hiệu quả ở nhóm này yếu và không đơn điệu.</w:t>
      </w:r>
    </w:p>
    <w:p>
      <w:r>
        <w:pict>
          <v:rect style="width:0;height:1.5pt" o:hralign="center" o:hrstd="t" o:hr="t"/>
        </w:pict>
      </w:r>
    </w:p>
    <w:bookmarkEnd w:id="55"/>
    <w:bookmarkEnd w:id="56"/>
    <w:bookmarkStart w:id="62" w:name="biến-thiên-theo-thời-gian-2009-2025"/>
    <w:p>
      <w:pPr>
        <w:pStyle w:val="Heading3"/>
      </w:pPr>
      <w:r>
        <w:t xml:space="preserve">2.3.6 Biến thiên theo thời gian (2009-2025)</w:t>
      </w:r>
    </w:p>
    <w:bookmarkStart w:id="57" w:name="xu-hướng-thay-đổi-chính"/>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-¹</w:t>
            </w:r>
          </w:p>
        </w:tc>
        <w:tc>
          <w:tcPr/>
          <w:p>
            <w:pPr>
              <w:pStyle w:val="Compact"/>
              <w:jc w:val="left"/>
            </w:pPr>
            <w:r>
              <w:t xml:space="preserve">-20 đến -25</w:t>
            </w:r>
          </w:p>
        </w:tc>
      </w:tr>
    </w:tbl>
    <w:p>
      <w:pPr>
        <w:pStyle w:val="BodyText"/>
      </w:pPr>
      <w:r>
        <w:rPr>
          <w:iCs/>
          <w:i/>
        </w:rPr>
        <w:t xml:space="preserve">¹ Δ R&amp;D không tính được cho SIDS vì dữ liệu giai đoạn 2009-2012 quá thưa, hầu hết SIDS chỉ có khảo sát từ 2013+ (FJI, PNG, SLB, TON, VUT, WSM); chỉ Kiribati (KIR) có đợt 2025 mới nhất. Để so sánh dọc, cần ít nhất 2 đợt khảo sát cùng quốc gia.</w:t>
      </w:r>
    </w:p>
    <w:p>
      <w:pPr>
        <w:pStyle w:val="BodyText"/>
      </w:pPr>
      <w:r>
        <w:rPr>
          <w:bCs/>
          <w:b/>
        </w:rPr>
        <w:t xml:space="preserve">Nhảy vọt số</w:t>
      </w:r>
      <w:r>
        <w:t xml:space="preserve"> </w:t>
      </w:r>
      <w:r>
        <w:t xml:space="preserve">là xu hướng nổi bật nhất: website tăng +20-43 điểm phần trăm ở Frontier, Emerging và SIDS,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7"/>
    <w:bookmarkStart w:id="58" w:name="phân-biệt-3-chỉ-số-tham-nhũng-wbes"/>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w:t>
      </w:r>
      <w:r>
        <w:t xml:space="preserve"> </w:t>
      </w:r>
      <w:r>
        <w:t xml:space="preserve">“</w:t>
      </w:r>
      <w:r>
        <w:t xml:space="preserve">phải hối lộ thanh tra thuế</w:t>
      </w:r>
      <w:r>
        <w:t xml:space="preserve">”</w:t>
      </w:r>
      <w:r>
        <w:t xml:space="preserve"> </w:t>
      </w:r>
      <w:r>
        <w:t xml:space="preserve">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8"/>
    <w:bookmarkStart w:id="59" w:name="khung-phân-tích-cấp-ngành"/>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cho thấy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9"/>
    <w:bookmarkStart w:id="60" w:name="phân-nhóm-con-emerging-dị-biệt-nội-bộ"/>
    <w:p>
      <w:pPr>
        <w:pStyle w:val="Heading4"/>
      </w:pPr>
      <w:r>
        <w:t xml:space="preserve">2.3.6.4 Phân nhóm con Emerging, dị biệt nội bộ</w:t>
      </w:r>
    </w:p>
    <w:p>
      <w:pPr>
        <w:pStyle w:val="FirstParagraph"/>
      </w:pPr>
      <w:r>
        <w:rPr>
          <w:bCs/>
          <w:b/>
        </w:rPr>
        <w:t xml:space="preserve">Bảng 2.3.6.4</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w:t>
            </w:r>
            <w:r>
              <w:t xml:space="preserve">$10%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(1) FSTS phân tầng 5,0%-7,2%-13,2% bị che giấu khi gộp; (2) FDI chênh lệch 6 lần giữa ASEAN-3 và Nam Á + Tây Á; (3) TCI ngược dấu trong nội bộ nhóm; (4) Mông Cổ là trường hợp biên với đặc điểm tài nguyên; (5) độ lệch chuẩn log 1,53 so với 1,16, phân tầng hai tầng trong mẫu con FDI dẫn dắt (Hsieh &amp; Klenow, 2009).</w:t>
      </w:r>
    </w:p>
    <w:bookmarkEnd w:id="60"/>
    <w:bookmarkStart w:id="61" w:name="phân-tích-sâu-đợt-khảo-sát-2025"/>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(n=17.053, bao gồm Kiribati 2025 và Nepal 2025). Ghi chú: Nepal 2025 sử dụng BREADY Micro schema, FSTS</w:t>
      </w:r>
      <w:r>
        <w:t xml:space="preserve">, Website† và FDI/R&amp;D (-) không tương đương trực tiếp với WBES chuẩn; trung bình Tổng 2025 tính trên 13 quốc gia WBES chuẩn.*</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0,86</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9,2</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1,49</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1,21</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1,30</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0,35</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426</w:t>
            </w:r>
          </w:p>
        </w:tc>
        <w:tc>
          <w:tcPr/>
          <w:p>
            <w:pPr>
              <w:pStyle w:val="Compact"/>
              <w:jc w:val="left"/>
            </w:pPr>
            <w:r>
              <w:t xml:space="preserve">5,9</w:t>
            </w:r>
          </w:p>
        </w:tc>
        <w:tc>
          <w:tcPr/>
          <w:p>
            <w:pPr>
              <w:pStyle w:val="Compact"/>
              <w:jc w:val="left"/>
            </w:pPr>
            <w:r>
              <w:t xml:space="preserve">1,0</w:t>
            </w:r>
          </w:p>
        </w:tc>
        <w:tc>
          <w:tcPr/>
          <w:p>
            <w:pPr>
              <w:pStyle w:val="Compact"/>
              <w:jc w:val="left"/>
            </w:pPr>
            <w:r>
              <w:t xml:space="preserve">25,8</w:t>
            </w:r>
          </w:p>
        </w:tc>
        <w:tc>
          <w:tcPr/>
          <w:p>
            <w:pPr>
              <w:pStyle w:val="Compact"/>
              <w:jc w:val="left"/>
            </w:pPr>
            <w:r>
              <w:t xml:space="preserve">47,2</w:t>
            </w:r>
          </w:p>
        </w:tc>
        <w:tc>
          <w:tcPr/>
          <w:p>
            <w:pPr>
              <w:pStyle w:val="Compact"/>
              <w:jc w:val="left"/>
            </w:pPr>
            <w:r>
              <w:t xml:space="preserve">1,53</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5,7</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1,63</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12,2</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1,22</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1,43</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5,0</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1,38</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1,16</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1,55</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22,6†</w:t>
            </w:r>
          </w:p>
        </w:tc>
        <w:tc>
          <w:tcPr/>
          <w:p>
            <w:pPr>
              <w:pStyle w:val="Compact"/>
              <w:jc w:val="left"/>
            </w:pPr>
            <w:r>
              <w:t xml:space="preserve">1,15</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17.053</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*FSTS Nepal: % doanh nghiệp bán ra thị trường quốc tế (biến nhị phân</w:t>
      </w:r>
      <w:r>
        <w:rPr>
          <w:iCs/>
          <w:i/>
        </w:rPr>
        <w:t xml:space="preserve"> </w:t>
      </w:r>
      <w:r>
        <w:rPr>
          <w:rStyle w:val="VerbatimChar"/>
          <w:iCs/>
          <w:i/>
        </w:rPr>
        <w:t xml:space="preserve">me1c</w:t>
      </w:r>
      <w:r>
        <w:rPr>
          <w:iCs/>
          <w:i/>
        </w:rPr>
        <w:t xml:space="preserve">), không phải trung bình tỷ lệ doanh thu xuất khẩu. †Website Nepal: % dùng máy tính/tablet (</w:t>
      </w:r>
      <w:r>
        <w:rPr>
          <w:rStyle w:val="VerbatimChar"/>
          <w:iCs/>
          <w:i/>
        </w:rPr>
        <w:t xml:space="preserve">c42a</w:t>
      </w:r>
      <w:r>
        <w:rPr>
          <w:iCs/>
          <w:i/>
        </w:rPr>
        <w:t xml:space="preserve">), proxy số hóa Micro. FDI và R&amp;D không có trong BREADY Micro schema.</w:t>
      </w:r>
    </w:p>
    <w:p>
      <w:pPr>
        <w:pStyle w:val="BodyText"/>
      </w:pPr>
      <w:r>
        <w:t xml:space="preserve">Tám phát hiện từ đợt 2025: (1) Ấn Độ FSTS sụt 5 điểm phần trăm (hiệu ứng schema); (2) Thái Lan</w:t>
      </w:r>
      <w:r>
        <w:t xml:space="preserve"> </w:t>
      </w:r>
      <w:r>
        <w:t xml:space="preserve">“</w:t>
      </w:r>
      <w:r>
        <w:t xml:space="preserve">số hóa tăng, xuất khẩu giảm</w:t>
      </w:r>
      <w:r>
        <w:t xml:space="preserve">”</w:t>
      </w:r>
      <w:r>
        <w:t xml:space="preserve">;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FSTS 1,03%, FDI 0,7%, website 18,7%, đối lập hoàn toàn với Fiji. Dị biệt SIDS</w:t>
      </w:r>
      <w:r>
        <w:rPr>
          <w:bCs/>
          <w:b/>
        </w:rPr>
        <w:t xml:space="preserve"> </w:t>
      </w:r>
      <w:r>
        <w:rPr>
          <w:bCs/>
          <w:b/>
        </w:rPr>
        <w:t xml:space="preserve">“</w:t>
      </w:r>
      <w:r>
        <w:rPr>
          <w:bCs/>
          <w:b/>
        </w:rPr>
        <w:t xml:space="preserve">số hóa cao</w:t>
      </w:r>
      <w:r>
        <w:rPr>
          <w:bCs/>
          <w:b/>
        </w:rPr>
        <w:t xml:space="preserve">”</w:t>
      </w:r>
      <w:r>
        <w:rPr>
          <w:bCs/>
          <w:b/>
        </w:rPr>
        <w:t xml:space="preserve"> </w:t>
      </w:r>
      <w:r>
        <w:rPr>
          <w:bCs/>
          <w:b/>
        </w:rPr>
        <w:t xml:space="preserve">(FJI, MDV) so với</w:t>
      </w:r>
      <w:r>
        <w:rPr>
          <w:bCs/>
          <w:b/>
        </w:rPr>
        <w:t xml:space="preserve"> </w:t>
      </w:r>
      <w:r>
        <w:rPr>
          <w:bCs/>
          <w:b/>
        </w:rPr>
        <w:t xml:space="preserve">“</w:t>
      </w:r>
      <w:r>
        <w:rPr>
          <w:bCs/>
          <w:b/>
        </w:rPr>
        <w:t xml:space="preserve">cô lập nông thôn</w:t>
      </w:r>
      <w:r>
        <w:rPr>
          <w:bCs/>
          <w:b/>
        </w:rPr>
        <w:t xml:space="preserve">”</w:t>
      </w:r>
      <w:r>
        <w:rPr>
          <w:bCs/>
          <w:b/>
        </w:rPr>
        <w:t xml:space="preserve"> </w:t>
      </w:r>
      <w:r>
        <w:rPr>
          <w:bCs/>
          <w:b/>
        </w:rPr>
        <w:t xml:space="preserve">(KIR), Chuyên đề 2 cần tách 2 phân nhóm con SIDS.</w:t>
      </w:r>
      <w:r>
        <w:t xml:space="preserve">; (8)</w:t>
      </w:r>
      <w:r>
        <w:t xml:space="preserve"> </w:t>
      </w:r>
      <w:r>
        <w:rPr>
          <w:bCs/>
          <w:b/>
        </w:rPr>
        <w:t xml:space="preserve">Nepal Frontier, BREADY Micro schema (n=1.740): 10% bán quốc tế, số hóa 22,6% (máy tính/tablet), sd log LP 1,15, mẫu doanh nghiệp siêu nhỏ không so sánh trực tiếp với WBES chuẩn; cần tái mã hóa trước khi tích hợp vào hồi quy chính.</w:t>
      </w:r>
    </w:p>
    <w:p>
      <w:r>
        <w:pict>
          <v:rect style="width:0;height:1.5pt" o:hralign="center" o:hrstd="t" o:hr="t"/>
        </w:pict>
      </w:r>
    </w:p>
    <w:bookmarkEnd w:id="61"/>
    <w:bookmarkEnd w:id="62"/>
    <w:bookmarkStart w:id="71" w:name="bảy-tiểu-cảnh-điển-hình"/>
    <w:p>
      <w:pPr>
        <w:pStyle w:val="Heading3"/>
      </w:pPr>
      <w:r>
        <w:t xml:space="preserve">2.3.7 Bảy tiểu cảnh điển hình</w:t>
      </w:r>
    </w:p>
    <w:bookmarkStart w:id="63" w:name="X3055a7db7274e37a9f2c0231dbf16e1af51dbc7"/>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w:t>
      </w:r>
      <w:r>
        <w:t xml:space="preserve"> </w:t>
      </w:r>
      <m:oMath>
        <m:sSup>
          <m:e>
            <m:r>
              <m:t>R</m:t>
            </m:r>
          </m:e>
          <m:sup>
            <m:r>
              <m:t>2</m:t>
            </m:r>
          </m:sup>
        </m:sSup>
      </m:oMath>
      <w:r>
        <w:t xml:space="preserve"> </w:t>
      </w:r>
      <w:r>
        <w:t xml:space="preserve">hiệu chỉnh = 0,196; tương tác</w:t>
      </w:r>
      <w:r>
        <w:t xml:space="preserve"> </w:t>
      </w:r>
      <m:oMath>
        <m:sSup>
          <m:e>
            <m:r>
              <m:rPr>
                <m:nor/>
                <m:sty m:val="p"/>
              </m:rPr>
              <m:t>FSTS</m:t>
            </m:r>
          </m:e>
          <m:sup>
            <m:r>
              <m:t>2</m:t>
            </m:r>
          </m:sup>
        </m:sSup>
      </m:oMath>
      <w:r>
        <w:t xml:space="preserve"> </w:t>
      </w:r>
      <w:r>
        <w:t xml:space="preserve">× DAI = 3,119 (p = 0,005); điểm uốn ~82%.</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Tier 3-4,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63"/>
    <w:bookmarkStart w:id="64" w:name="X3d8e62bb8c12f1314bcf822e6abe0e9d84c2bf6"/>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w:t>
            </w:r>
            <w:r>
              <w:t xml:space="preserve">$10%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64"/>
    <w:bookmarkStart w:id="65" w:name="Xdb719e3a8e331c4576e009e4801111badf5cb2d"/>
    <w:p>
      <w:pPr>
        <w:pStyle w:val="Heading4"/>
      </w:pPr>
      <w:r>
        <w:t xml:space="preserve">2.3.7.3 Việt Nam (n=3.077, 3 đợt khảo sát), cập nhật ADB Vietnam Outlook 2026</w:t>
      </w:r>
    </w:p>
    <w:p>
      <w:pPr>
        <w:pStyle w:val="FirstParagraph"/>
      </w:pPr>
      <w:r>
        <w:t xml:space="preserve">FSTS 23,2%, 17,9%, 16,1% (suy giảm theo thời gian); doanh nghiệp xuất khẩu 37,1% xuống 23,8%; ISO 17-23%; R&amp;D 6,1% (2023). Pattern</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hạ nguồn (downstream) sang thiết kế và R&amp;D trung nguồn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5"/>
    <w:bookmarkStart w:id="66" w:name="trung-quốc-n4.889"/>
    <w:p>
      <w:pPr>
        <w:pStyle w:val="Heading4"/>
      </w:pPr>
      <w:r>
        <w:t xml:space="preserve">2.3.7.4 Trung Quốc (n=4.889)</w:t>
      </w:r>
    </w:p>
    <w:p>
      <w:pPr>
        <w:pStyle w:val="FirstParagraph"/>
      </w:pPr>
      <w:r>
        <w:t xml:space="preserve">FSTS 10,9% xuống 8,8%; FDI $</w:t>
      </w:r>
      <w:r>
        <w:t xml:space="preserve">$10% chiếm 6,0%. Quan hệ FSTS - năng suất có dạng hàm bậc hai (U ngược) với điểm uốn ~47,5% (Đỗ &amp; Phan, 2026, JFAR).</w:t>
      </w:r>
      <w:r>
        <w:t xml:space="preserve"> </w:t>
      </w:r>
      <w:r>
        <w:rPr>
          <w:bCs/>
          <w:b/>
        </w:rPr>
        <w:t xml:space="preserve">Rủi ro tập trung</w:t>
      </w:r>
      <w:r>
        <w:t xml:space="preserve">: Wang et al. (2024, IRFA) phân tích 80% mô hình rủi ro ngân hàng tại Trung Quốc phụ thuộc các nhà cung cấp công nghệ chi phối thị trường, cảnh báo cho lộ trình sản xuất thông minh.</w:t>
      </w:r>
    </w:p>
    <w:bookmarkEnd w:id="66"/>
    <w:bookmarkStart w:id="67" w:name="X899cb513c960898c1a25d20448f39c61b9b2c62"/>
    <w:p>
      <w:pPr>
        <w:pStyle w:val="Heading4"/>
      </w:pPr>
      <w:r>
        <w:t xml:space="preserve">2.3.7.5 Tổng hợp Emerging Asia (n=42.278), trường hợp Ấn Độ</w:t>
      </w:r>
    </w:p>
    <w:p>
      <w:pPr>
        <w:pStyle w:val="FirstParagraph"/>
      </w:pPr>
      <w:r>
        <w:t xml:space="preserve">FSTS 7,6%; FDI $</w:t>
      </w:r>
      <w:r>
        <w:t xml:space="preserve">$10% chiếm 4,4%; tỷ lệ doanh nghiệp R&amp;D dương 16%. Phân tán nội bộ lớn (độ lệch chuẩn log 2,18), phản ánh dị biệt rộng xuyên 7 nước.</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lên 42.396 triệu USD (2012-2022); R&amp;D trì trệ ở 0,7% GDP.</w:t>
      </w:r>
    </w:p>
    <w:bookmarkEnd w:id="67"/>
    <w:bookmarkStart w:id="68" w:name="X7b66a270a9cf1e965c06d68bbffe282f59d2e9a"/>
    <w:p>
      <w:pPr>
        <w:pStyle w:val="Heading4"/>
      </w:pPr>
      <w:r>
        <w:t xml:space="preserve">2.3.7.6 Mông Cổ, từ lời nguyền tài nguyên đến khoáng sản thiết yếu (n=1.905)</w:t>
      </w:r>
    </w:p>
    <w:p>
      <w:pPr>
        <w:pStyle w:val="FirstParagraph"/>
      </w:pPr>
      <w:r>
        <w:t xml:space="preserve">FSTS đình trệ 4-6%; FDI $</w:t>
      </w:r>
      <w:r>
        <w:t xml:space="preserve">$10% giảm</w:t>
      </w:r>
      <w:r>
        <w:t xml:space="preserve"> </w:t>
      </w:r>
      <w:r>
        <w:rPr>
          <w:bCs/>
          <w:b/>
        </w:rPr>
        <w:t xml:space="preserve">từ 7,2% xuống 3,2%</w:t>
      </w:r>
      <w:r>
        <w:t xml:space="preserve">; website tăng từ 39% lên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FSTS đình trệ trong khi website tăng mạnh; FDI giảm phản ánh lời nguyền tài nguyên giai đoạn 1.</w:t>
      </w:r>
    </w:p>
    <w:bookmarkEnd w:id="68"/>
    <w:bookmarkStart w:id="69" w:name="sids-thái-bình-dương-7-nước-n1.371"/>
    <w:p>
      <w:pPr>
        <w:pStyle w:val="Heading4"/>
      </w:pPr>
      <w:r>
        <w:t xml:space="preserve">2.3.7.7 SIDS Thái Bình Dương (7 nước,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2025)</w:t>
      </w:r>
      <w:r>
        <w:t xml:space="preserve">. FSTS 6,3%; FDI $</w:t>
      </w:r>
      <w:r>
        <w:t xml:space="preserve">$10%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9"/>
    <w:bookmarkStart w:id="70" w:name="so-sánh-tổng-hợp"/>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w:t>
            </w:r>
            <w:r>
              <w:t xml:space="preserve">$10%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70"/>
    <w:bookmarkEnd w:id="71"/>
    <w:bookmarkStart w:id="75" w:name="yếu-tố-giải-thích-sơ-bộ"/>
    <w:p>
      <w:pPr>
        <w:pStyle w:val="Heading3"/>
      </w:pPr>
      <w:r>
        <w:t xml:space="preserve">2.3.8 Yếu tố giải thích sơ bộ</w:t>
      </w:r>
    </w:p>
    <w:bookmarkStart w:id="72" w:name="hệ-số-tương-quan-pearson"/>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w:t>
            </w:r>
            <w:r>
              <w:t xml:space="preserve"> </w:t>
            </w:r>
            <m:oMath>
              <m:r>
                <m:rPr>
                  <m:sty m:val="p"/>
                </m:rPr>
                <m:t>≥</m:t>
              </m:r>
            </m:oMath>
            <w:r>
              <w:t xml:space="preserve"> </w:t>
            </w:r>
            <w:r>
              <w:t xml:space="preserve">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(1) FDI dương mạnh ở SIDS (+0,222), FDI ngoại sinh là nguồn năng suất chủ đạo; (2) FDI âm tại Advanced (−0,113), doanh nghiệp FDI không có lợi thế tại thị trường trưởng thành; (3) FSTS dương tại Advanced (+0,113), xác nhận lý thuyết Uppsala; (4) TCI dương đồng đều SIDS và Advanced; (5) DAI âm tại Advanced (−0,129), Nghịch lý bão hòa số; (6) Đảo dấu xuyên chế độ thể chế (cross-regime), thể chế điều tiết chiều hướng cơ chế (Xu, 2024).</w:t>
      </w:r>
    </w:p>
    <w:p>
      <w:pPr>
        <w:pStyle w:val="BodyText"/>
      </w:pPr>
      <w:r>
        <w:rPr>
          <w:bCs/>
          <w:b/>
        </w:rPr>
        <w:t xml:space="preserve">Cảnh báo schema BREADY 2025</w:t>
      </w:r>
      <w:r>
        <w:t xml:space="preserve">: Bảng 2.3.8.1 có thể bị nhiễu hiệu ứng schema, cần kiểm chứng qua hệ thống phòng thủ ba tầng (Mục 2.2) trước khi suy diễn nhân quả.</w:t>
      </w:r>
    </w:p>
    <w:bookmarkEnd w:id="72"/>
    <w:bookmarkStart w:id="73" w:name="X7a2cacb152e06bbc0cb3173c16d9e101bae83b4"/>
    <w:p>
      <w:pPr>
        <w:pStyle w:val="Heading4"/>
      </w:pPr>
      <w:r>
        <w:t xml:space="preserve">2.3.8.2 Pattern giới tính trong quản lý và sở hữu,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(a) nghịch lý EAP, nữ quản lý dẫn đầu toàn cầu nhưng trần sở hữu (ownership ceiling) thấp hơn trần quản lý (management ceiling) 7,7 điểm; (b) điểm nghẽn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73"/>
    <w:bookmarkStart w:id="74" w:name="X722b5d08b43e844213bbd3d2ce6ee0ceb749773"/>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giai đoạn</w:t>
      </w:r>
      <w:r>
        <w:t xml:space="preserve"> </w:t>
      </w:r>
      <w:r>
        <w:t xml:space="preserve">“</w:t>
      </w:r>
      <w:r>
        <w:t xml:space="preserve">sân khấu số</w:t>
      </w:r>
      <w:r>
        <w:t xml:space="preserve">”</w:t>
      </w:r>
      <w:r>
        <w:t xml:space="preserve"> </w:t>
      </w:r>
      <w:r>
        <w:t xml:space="preserve">(Verhoef et al., 2021).</w:t>
      </w:r>
    </w:p>
    <w:p>
      <w:pPr>
        <w:pStyle w:val="BodyText"/>
      </w:pPr>
      <w:r>
        <w:rPr>
          <w:bCs/>
          <w:b/>
        </w:rPr>
        <w:t xml:space="preserve">Giai đoạn 2</w:t>
      </w:r>
      <w:r>
        <w:t xml:space="preserve"> </w:t>
      </w:r>
      <w:r>
        <w:t xml:space="preserve">(năm 3-5): Vùng chuyển tiếp. Ngưỡng:</w:t>
      </w:r>
      <w:r>
        <w:t xml:space="preserve"> </w:t>
      </w:r>
      <m:oMath>
        <m:r>
          <m:rPr>
            <m:sty m:val="p"/>
          </m:rPr>
          <m:t>≥</m:t>
        </m:r>
      </m:oMath>
      <w:r>
        <w:t xml:space="preserve"> </w:t>
      </w:r>
      <w:r>
        <w:t xml:space="preserve">3% doanh thu/năm ×</w:t>
      </w:r>
      <w:r>
        <w:t xml:space="preserve"> </w:t>
      </w:r>
      <m:oMath>
        <m:r>
          <m:rPr>
            <m:sty m:val="p"/>
          </m:rPr>
          <m:t>≥</m:t>
        </m:r>
      </m:oMath>
      <w:r>
        <w:t xml:space="preserve"> </w:t>
      </w:r>
      <w:r>
        <w:t xml:space="preserve">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w:t>
      </w:r>
      <w:r>
        <w:t xml:space="preserve"> </w:t>
      </w:r>
      <m:oMath>
        <m:sSup>
          <m:e>
            <m:r>
              <m:rPr>
                <m:nor/>
                <m:sty m:val="p"/>
              </m:rPr>
              <m:t>FSTS</m:t>
            </m:r>
          </m:e>
          <m:sup>
            <m:r>
              <m:t>2</m:t>
            </m:r>
          </m:sup>
        </m:sSup>
      </m:oMath>
      <w:r>
        <w:t xml:space="preserve">×DAI = +3,119 (p = 0,005) tại Singapore, DAI khuếch đại quan hệ quốc tế hóa -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74"/>
    <w:bookmarkEnd w:id="75"/>
    <w:bookmarkStart w:id="80" w:name="thảo-luận-tổng-hợp"/>
    <w:p>
      <w:pPr>
        <w:pStyle w:val="Heading3"/>
      </w:pPr>
      <w:r>
        <w:t xml:space="preserve">2.3.9 Thảo luận tổng hợp</w:t>
      </w:r>
    </w:p>
    <w:bookmarkStart w:id="76" w:name="mười-kết-luận-tổng-hợp-từ-dữ-liệu-wbes"/>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Upper-middle 1,29</w:t>
      </w:r>
      <w:r>
        <w:t xml:space="preserve"> </w:t>
      </w:r>
      <m:oMath>
        <m:r>
          <m:rPr>
            <m:sty m:val="p"/>
          </m:rPr>
          <m:t>≈</m:t>
        </m:r>
      </m:oMath>
      <w:r>
        <w:t xml:space="preserve"> </w:t>
      </w:r>
      <w:r>
        <w:t xml:space="preserve">Emerging 1,24</w:t>
      </w:r>
      <w:r>
        <w:t xml:space="preserve"> </w:t>
      </w:r>
      <m:oMath>
        <m:r>
          <m:rPr>
            <m:sty m:val="p"/>
          </m:rPr>
          <m:t>≈</m:t>
        </m:r>
      </m:oMath>
      <w:r>
        <w:t xml:space="preserve"> </w:t>
      </w:r>
      <w:r>
        <w:t xml:space="preserve">SIDS 1,32,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w:t>
      </w:r>
      <w:r>
        <w:t xml:space="preserve"> </w:t>
      </w:r>
      <m:oMath>
        <m:r>
          <m:rPr>
            <m:sty m:val="p"/>
          </m:rPr>
          <m:t>≈</m:t>
        </m:r>
      </m:oMath>
      <w:r>
        <w:t xml:space="preserve"> </w:t>
      </w:r>
      <w:r>
        <w:rPr>
          <w:bCs/>
          <w:b/>
        </w:rPr>
        <w:t xml:space="preserve">2,1 lần</w:t>
      </w:r>
      <w:r>
        <w:t xml:space="preserve">, cần phân nhóm con Advanced trong Chuyên đề 2.</w:t>
      </w:r>
    </w:p>
    <w:p>
      <w:pPr>
        <w:pStyle w:val="BodyText"/>
      </w:pPr>
      <w:r>
        <w:rPr>
          <w:bCs/>
          <w:b/>
        </w:rPr>
        <w:t xml:space="preserve">(iii) Dị biệt nội bộ phân nhóm Emerging, 3 phân nhóm con</w:t>
      </w:r>
      <w:r>
        <w:t xml:space="preserve">: FDI dẫn dắt SEA (VNM+IDN+PHL, FSTS 13,2%)</w:t>
      </w:r>
      <w:r>
        <w:t xml:space="preserve"> </w:t>
      </w:r>
      <m:oMath>
        <m:r>
          <m:rPr>
            <m:sty m:val="p"/>
          </m:rPr>
          <m:t>≠</m:t>
        </m:r>
      </m:oMath>
      <w:r>
        <w:t xml:space="preserve"> </w:t>
      </w:r>
      <w:r>
        <w:t xml:space="preserve">dân số lớn (IND+LKA+JOR, FSTS 7,2%)</w:t>
      </w:r>
      <w:r>
        <w:t xml:space="preserve"> </w:t>
      </w:r>
      <m:oMath>
        <m:r>
          <m:rPr>
            <m:sty m:val="p"/>
          </m:rPr>
          <m:t>≠</m:t>
        </m:r>
      </m:oMath>
      <w:r>
        <w:t xml:space="preserve"> </w:t>
      </w:r>
      <w:r>
        <w:t xml:space="preserve">tài nguyên (MNG, FSTS 5,0%).</w:t>
      </w:r>
    </w:p>
    <w:p>
      <w:pPr>
        <w:pStyle w:val="BodyText"/>
      </w:pPr>
      <w:r>
        <w:rPr>
          <w:bCs/>
          <w:b/>
        </w:rPr>
        <w:t xml:space="preserve">(iv) SIDS Pacific, Kiribati 2025 là trường hợp biên cực đoan nhất</w:t>
      </w:r>
      <w:r>
        <w:t xml:space="preserve">: FSTS 1,03%, FDI 0,7%, website 18,7%, ISO 1,3%,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xem kiểm định loại trừ ICT tại Mục 2.3.4.3.</w:t>
      </w:r>
    </w:p>
    <w:p>
      <w:pPr>
        <w:pStyle w:val="BodyText"/>
      </w:pPr>
      <w:r>
        <w:rPr>
          <w:bCs/>
          <w:b/>
        </w:rPr>
        <w:t xml:space="preserve">(vii) Pattern phi tuyến FDI $</w:t>
      </w:r>
      <w:r>
        <w:rPr>
          <w:bCs/>
          <w:b/>
        </w:rPr>
        <w:t xml:space="preserve">$10%</w:t>
      </w:r>
      <w:r>
        <w:t xml:space="preserve">, dạng chữ U với cực tiểu Emerging (4,7%): Advanced 11,1%, Emerging 4,7%, SIDS 23,5%. Hai mô hình FDI: MNE hub (Advanced) và du lịch/viễn thông (SIDS).</w:t>
      </w:r>
    </w:p>
    <w:p>
      <w:pPr>
        <w:pStyle w:val="BodyText"/>
      </w:pPr>
      <w:r>
        <w:rPr>
          <w:bCs/>
          <w:b/>
        </w:rPr>
        <w:t xml:space="preserve">(viii) Đợt khảo sát 2025, mẫu đơn năm lớn nhất</w:t>
      </w:r>
      <w:r>
        <w:t xml:space="preserve">: 14 nước × 17.053 doanh nghiệp (bao gồm Nepal 2025 BREADY Micro n=1.740). Ấn Độ FSTS sụt 5 điểm phần trăm (hiệu ứng schema); Fiji website 74,8% &gt; Singapore 66,1%; Kiribati đối lập cực đoan với Fiji; Nepal Micro: 10% bán quốc tế, sd log LP = 1,15.</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6"/>
    <w:bookmarkStart w:id="77" w:name="năm-khoảng-trống-nghiên-cứu"/>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Phân nhóm con Advanced: innovation-driven so với resource-driven chưa được hệ thống hóa</w:t>
      </w:r>
      <w:r>
        <w:t xml:space="preserve">: Nghiên cứu hiện hành (Bausch &amp; Krist, 2007; Kirca et al., 2012) gộp tất cả OECD vào</w:t>
      </w:r>
      <w:r>
        <w:t xml:space="preserve"> </w:t>
      </w:r>
      <w:r>
        <w:t xml:space="preserve">“</w:t>
      </w:r>
      <w:r>
        <w:t xml:space="preserve">phát triển</w:t>
      </w:r>
      <w:r>
        <w:t xml:space="preserve">”</w:t>
      </w:r>
      <w:r>
        <w:t xml:space="preserve">. Bằng chứng Singapore so với Saudi Arabia/Qatar/Kuwait cho thấy hai phân nhóm có pattern hoàn toàn khác nhau.</w:t>
      </w:r>
    </w:p>
    <w:p>
      <w:pPr>
        <w:pStyle w:val="BodyText"/>
      </w:pPr>
      <w:r>
        <w:rPr>
          <w:bCs/>
          <w:b/>
        </w:rPr>
        <w:t xml:space="preserve">KT3,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 hiệu quả nào trong các nghiên cứu. Cần khung kết hợp MIRAB và Briguglio (1995) và quan điểm dựa trên nguồn lực.</w:t>
      </w:r>
    </w:p>
    <w:bookmarkEnd w:id="77"/>
    <w:bookmarkStart w:id="78" w:name="hàm-ý-lý-thuyết"/>
    <w:p>
      <w:pPr>
        <w:pStyle w:val="Heading4"/>
      </w:pPr>
      <w:r>
        <w:t xml:space="preserve">2.3.9.3 Hàm ý lý thuyết</w:t>
      </w:r>
    </w:p>
    <w:p>
      <w:pPr>
        <w:pStyle w:val="FirstParagraph"/>
      </w:pPr>
      <w:r>
        <w:rPr>
          <w:bCs/>
          <w:b/>
        </w:rPr>
        <w:t xml:space="preserve">(1) Uppsala có điều kiện,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w:t>
      </w:r>
      <w:r>
        <w:t xml:space="preserve"> </w:t>
      </w:r>
      <w:r>
        <w:t xml:space="preserve">“</w:t>
      </w:r>
      <w:r>
        <w:t xml:space="preserve">phần bù số</w:t>
      </w:r>
      <w:r>
        <w:t xml:space="preserve">”</w:t>
      </w:r>
      <w:r>
        <w:t xml:space="preserve"> </w:t>
      </w:r>
      <w:r>
        <w:t xml:space="preserve">đồng nhất (Verhoef et al., 2021).</w:t>
      </w:r>
    </w:p>
    <w:p>
      <w:pPr>
        <w:pStyle w:val="BodyText"/>
      </w:pPr>
      <w:r>
        <w:rPr>
          <w:bCs/>
          <w:b/>
        </w:rPr>
        <w:t xml:space="preserve">(3) Giao diện Đổi mới-Hiệu suất Nâng cao (AIPI)</w:t>
      </w:r>
      <w:r>
        <w:t xml:space="preserve">:</w:t>
      </w:r>
      <w:r>
        <w:t xml:space="preserve"> </w:t>
      </w:r>
      <m:oMath>
        <m:sSup>
          <m:e>
            <m:r>
              <m:rPr>
                <m:nor/>
                <m:sty m:val="p"/>
              </m:rPr>
              <m:t>FSTS</m:t>
            </m:r>
          </m:e>
          <m:sup>
            <m:r>
              <m:t>2</m:t>
            </m:r>
          </m:sup>
        </m:sSup>
      </m:oMath>
      <w:r>
        <w:t xml:space="preserve">×DAI = +3,119 tại Singapore gợi ý cơ chế mới, tại FSTS cao, doanh nghiệp cần DAI như</w:t>
      </w:r>
      <w:r>
        <w:t xml:space="preserve"> </w:t>
      </w:r>
      <w:r>
        <w:t xml:space="preserve">“</w:t>
      </w:r>
      <w:r>
        <w:t xml:space="preserve">phối hợp kỹ thuật số xuyên biên giới</w:t>
      </w:r>
      <w:r>
        <w:t xml:space="preserve">”</w:t>
      </w:r>
      <w:r>
        <w:t xml:space="preserve"> </w:t>
      </w:r>
      <w:r>
        <w:t xml:space="preserve">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xuyên chế độ thể chế không phải nhiễu mà là tín hiệu lý thuyết. Nghiên cứu kinh doanh quốc tế tương lai nên kiểm định hiệu ứng điều tiết theo nhóm ICRV trước khi báo cáo kích thước hiệu ứng trung bình.</w:t>
      </w:r>
    </w:p>
    <w:bookmarkEnd w:id="78"/>
    <w:bookmarkStart w:id="79" w:name="hàm-ý-phương-pháp-luận"/>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xuyên chế độ thể chế quan trọng về lý thuyết.</w:t>
      </w:r>
    </w:p>
    <w:p>
      <w:pPr>
        <w:pStyle w:val="BodyText"/>
      </w:pPr>
      <w:r>
        <w:rPr>
          <w:bCs/>
          <w:b/>
        </w:rPr>
        <w:t xml:space="preserve">(4) Sai số chuẩn vững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9"/>
    <w:bookmarkEnd w:id="80"/>
    <w:bookmarkEnd w:id="81"/>
    <w:bookmarkStart w:id="86" w:name="kết-luận"/>
    <w:p>
      <w:pPr>
        <w:pStyle w:val="Heading2"/>
      </w:pPr>
      <w:r>
        <w:t xml:space="preserve">2.4 KẾT LUẬN</w:t>
      </w:r>
    </w:p>
    <w:bookmarkStart w:id="82" w:name="kết-luận-chính"/>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Phi tuyến xuyên chế độ thể chế là quy luật</w:t>
      </w:r>
      <w:r>
        <w:t xml:space="preserve">: U ngược tại Emerging (Việt Nam điểm uốn 39-46%; Trung Quốc điểm uốn 47-49%); gần tuyến tính tại Advanced (Singapore điểm uốn 82%); chi phí buộc phải tại SIDS.</w:t>
      </w:r>
    </w:p>
    <w:p>
      <w:pPr>
        <w:pStyle w:val="BodyText"/>
      </w:pPr>
      <w:r>
        <w:rPr>
          <w:bCs/>
          <w:b/>
        </w:rPr>
        <w:t xml:space="preserve">KL2, TCI là dịch chuyển mức phổ quát, DAI là khuếch đại phụ thuộc bối cảnh</w:t>
      </w:r>
      <w:r>
        <w:t xml:space="preserve">: TCI dương ở mọi nhóm; DAI đổi dấu theo nhóm ICRV, đây là nội hàm cốt lõi của CDCM.</w:t>
      </w:r>
    </w:p>
    <w:p>
      <w:pPr>
        <w:pStyle w:val="BodyText"/>
      </w:pPr>
      <w:r>
        <w:rPr>
          <w:bCs/>
          <w:b/>
        </w:rPr>
        <w:t xml:space="preserve">KL3,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Thể chế là biến điều tiết, không phải biến trung gian</w:t>
      </w:r>
      <w:r>
        <w:t xml:space="preserve">: Gap de jure-de facto (Xu, 2024) giải thích đảo dấu FDI xuyên chế độ thể chế.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trần quản lý đang thu hẹp.</w:t>
      </w:r>
    </w:p>
    <w:p>
      <w:pPr>
        <w:pStyle w:val="BodyText"/>
      </w:pPr>
      <w:r>
        <w:rPr>
          <w:bCs/>
          <w:b/>
        </w:rPr>
        <w:t xml:space="preserve">KL7,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w:t>
      </w:r>
      <w:r>
        <w:t xml:space="preserve"> </w:t>
      </w:r>
      <w:r>
        <w:t xml:space="preserve">“</w:t>
      </w:r>
      <w:r>
        <w:t xml:space="preserve">Advanced</w:t>
      </w:r>
      <w:r>
        <w:t xml:space="preserve">”</w:t>
      </w:r>
      <w:r>
        <w:t xml:space="preserve"> </w:t>
      </w:r>
      <w:r>
        <w:t xml:space="preserve">nhưng pattern năng suất doanh nghiệp hoàn toàn khác nhau.</w:t>
      </w:r>
    </w:p>
    <w:bookmarkEnd w:id="82"/>
    <w:bookmarkStart w:id="85" w:name="hàm-ý-và-đề-xuất"/>
    <w:p>
      <w:pPr>
        <w:pStyle w:val="Heading3"/>
      </w:pPr>
      <w:r>
        <w:t xml:space="preserve">2.4.2 Hàm ý và đề xuất</w:t>
      </w:r>
    </w:p>
    <w:bookmarkStart w:id="83" w:name="Xb96aebe161983f7eb681db97895f4deb1f50458"/>
    <w:p>
      <w:pPr>
        <w:pStyle w:val="Heading4"/>
      </w:pPr>
      <w:r>
        <w:t xml:space="preserve">2.4.2.1 Hàm ý chính sách cho doanh nghiệp Việt Nam và khu vực châu Á</w:t>
      </w:r>
    </w:p>
    <w:p>
      <w:pPr>
        <w:pStyle w:val="FirstParagraph"/>
      </w:pPr>
      <w:r>
        <w:rPr>
          <w:bCs/>
          <w:b/>
        </w:rPr>
        <w:t xml:space="preserve">(1) Tuần tự hóa năng lực (sequencing)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từ 23,2% xuống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hạ nguồn sang thiết kế và R&amp;D trung nguồn</w:t>
      </w:r>
      <w:r>
        <w:t xml:space="preserve">: Việt Nam ở điểm uốn (39-46%). Trung Quốc R&amp;D 39,4% và điểm uốn cao hơn (47-49%) cho thấy: Sự chênh lệch điểm uốn giữa Trung Quốc (TP ~47-49%, Nhóm III) và Việt Nam (TP ~39-46%, Nhóm IV) phản ánh dải biến thiên (gradient) theo ICRV, không phải dải biến thiên theo TCI. TCI nâng mặt bằng năng suất ở mọi mức FSTS (hiệu ứng dịch chuyển mức, level-shift) nhưng không trực tiếp quyết định vị trí điểm uốn. Phân biệt hai cơ chế này có ý nghĩa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(Tier-1.5) so với nông thôn đồng bằng sông Cửu Long (Tier-1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hướng tới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không phù hợp để sao chép trực tiếp;</w:t>
      </w:r>
      <w:r>
        <w:t xml:space="preserve"> </w:t>
      </w:r>
      <w:r>
        <w:t xml:space="preserve">(b) Nhật Bản 60% doanh nghiệp AI back-office (Tier-2),</w:t>
      </w:r>
      <w:r>
        <w:t xml:space="preserve"> </w:t>
      </w:r>
      <w:r>
        <w:rPr>
          <w:bCs/>
          <w:b/>
        </w:rPr>
        <w:t xml:space="preserve">mục tiêu thực tế 2026-2030</w:t>
      </w:r>
      <w:r>
        <w:t xml:space="preserve">;</w:t>
      </w:r>
      <w:r>
        <w:t xml:space="preserve"> </w:t>
      </w:r>
      <w:r>
        <w:t xml:space="preserve">(c) Trung Quốc sản xuất thông minh (Tier-2/3), học điểm tích cực, tránh rủi ro tập trung;</w:t>
      </w:r>
      <w:r>
        <w:t xml:space="preserve"> </w:t>
      </w:r>
      <w:r>
        <w:t xml:space="preserve">(d)</w:t>
      </w:r>
      <w:r>
        <w:t xml:space="preserve"> </w:t>
      </w:r>
      <w:r>
        <w:rPr>
          <w:bCs/>
          <w:b/>
        </w:rPr>
        <w:t xml:space="preserve">Mô hình ưu tiên Việt Nam Tier-1.5</w:t>
      </w:r>
      <w:r>
        <w:t xml:space="preserve">: VietQR (100% miễn phí), tiếp đến Thương mại xã hội, Xuyên biên giới Shopee/Amazon, và Cloud và AI cơ bản.</w:t>
      </w:r>
    </w:p>
    <w:bookmarkEnd w:id="83"/>
    <w:bookmarkStart w:id="84" w:name="định-hướng-cho-chuyên-đề-2"/>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bằng ROS, tăng trưởng doanh thu, tăng trưởng việc làm. Kết quả chính cần bền vững</w:t>
      </w:r>
      <w:r>
        <w:t xml:space="preserve"> </w:t>
      </w:r>
      <m:oMath>
        <m:r>
          <m:rPr>
            <m:sty m:val="p"/>
          </m:rPr>
          <m:t>≥</m:t>
        </m:r>
      </m:oMath>
      <w:r>
        <w:t xml:space="preserve"> </w:t>
      </w:r>
      <w:r>
        <w:t xml:space="preserve">2/3 biến phụ thuộc.</w:t>
      </w:r>
    </w:p>
    <w:p>
      <w:pPr>
        <w:pStyle w:val="BodyText"/>
      </w:pPr>
      <w:r>
        <w:rPr>
          <w:bCs/>
          <w:b/>
        </w:rPr>
        <w:t xml:space="preserve">(2) Lọc mẫu</w:t>
      </w:r>
      <w:r>
        <w:t xml:space="preserve">: Loại doanh nghiệp siêu nhỏ (micro firms, &lt; 5 lao động) và doanh nghiệp nhà nước. Kết quả cần bền vững trong SME tư nhân (n</w:t>
      </w:r>
      <w:r>
        <w:t xml:space="preserve"> </w:t>
      </w:r>
      <m:oMath>
        <m:r>
          <m:rPr>
            <m:sty m:val="p"/>
          </m:rPr>
          <m:t>≈</m:t>
        </m:r>
      </m:oMath>
      <w:r>
        <w:t xml:space="preserve"> </w:t>
      </w:r>
      <w:r>
        <w:t xml:space="preserve">80.000+).</w:t>
      </w:r>
    </w:p>
    <w:p>
      <w:pPr>
        <w:pStyle w:val="BodyText"/>
      </w:pPr>
      <w:r>
        <w:rPr>
          <w:bCs/>
          <w:b/>
        </w:rPr>
        <w:t xml:space="preserve">(3) Thay phương pháp</w:t>
      </w:r>
      <w:r>
        <w:t xml:space="preserve">: OLS bằng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Kiểm định giả dược (placebo tests)</w:t>
      </w:r>
      <w:r>
        <w:t xml:space="preserve">: Thay FSTS + TCI bằng biến nhiễu. Kết quả chính không được có ý nghĩa thống kê.</w:t>
      </w:r>
    </w:p>
    <w:p>
      <w:pPr>
        <w:pStyle w:val="BodyText"/>
      </w:pPr>
      <w:r>
        <w:rPr>
          <w:bCs/>
          <w:b/>
        </w:rPr>
        <w:t xml:space="preserve">(6) Nhạy cảm cutoffs ICRV</w:t>
      </w:r>
      <w:r>
        <w:t xml:space="preserve">: $</w:t>
      </w:r>
      <w:r>
        <w:t xml:space="preserve">$0,1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84"/>
    <w:bookmarkEnd w:id="85"/>
    <w:bookmarkEnd w:id="86"/>
    <w:bookmarkStart w:id="87"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7"/>
    <w:bookmarkStart w:id="89" w:name="phụ-lục"/>
    <w:p>
      <w:pPr>
        <w:pStyle w:val="Heading2"/>
      </w:pPr>
      <w:r>
        <w:t xml:space="preserve">PHỤ LỤC</w:t>
      </w:r>
    </w:p>
    <w:bookmarkStart w:id="88" w:name="Xac7090a743afa00f99b5424d88f7949cab3c6cf"/>
    <w:p>
      <w:pPr>
        <w:pStyle w:val="Heading3"/>
      </w:pPr>
      <w:r>
        <w:t xml:space="preserve">Phụ lục A,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101.185 doanh nghiệp, 108 cặp quốc gia-năm.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Phiên bản nộp (12/05/2026)</w:t>
      </w:r>
      <w:r>
        <w:t xml:space="preserve"> </w:t>
      </w:r>
      <w:r>
        <w:rPr>
          <w:iCs/>
          <w:i/>
        </w:rPr>
        <w:t xml:space="preserve">Nghiên cứu sinh: Đỗ Thùy Hương, Trường Đại học Kỹ thuật Công nghệ Vĩnh Long (VLUTE)</w:t>
      </w:r>
      <w:r>
        <w:t xml:space="preserve"> </w:t>
      </w:r>
      <w:r>
        <w:rPr>
          <w:iCs/>
          <w:i/>
        </w:rPr>
        <w:t xml:space="preserve">Người hướng dẫn: TS. Nguyễn Minh Cảnh, Trường Kinh tế, Đại học Cần Thơ (CTU)</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2026-06-02T20:35:02Z</dcterms:created>
  <dcterms:modified xsi:type="dcterms:W3CDTF">2026-06-02T20:35:02Z</dcterms:modified>
</cp:coreProperties>
</file>

<file path=docProps/custom.xml><?xml version="1.0" encoding="utf-8"?>
<Properties xmlns="http://schemas.openxmlformats.org/officeDocument/2006/custom-properties" xmlns:vt="http://schemas.openxmlformats.org/officeDocument/2006/docPropsVTypes"/>
</file>