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8"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Bốn truyền thống này không vận hành song song mà hội tụ quanh một trục tổ chức duy nhất: chế độ thể chế ICRV hoạt động như một bộ lọc chi phí giao dịch (transaction cost filter) xác định một bản đồ địa hình xuất khẩu chiến lược (strategic export topography), trong đó RBV (TCI, DAI) là các tấm lá chắn cấp doanh nghiệp, Uppsala mô tả sự di chuyển dọc theo địa hình, còn Upper Echelons đi vào như biến kiểm soát nội sinh về chất lượng quản trị. Lược khảo năm dạng hàm quan hệ quốc tế hóa–hiệu quả (internationalization–performance, I–P) gồm tuyến tính, chữ U ngược, S-curve, M-curve, và chi phí buộc phải quốc tế hóa (forced penalty), cùng năm phân tích tổng hợp (meta-analysis) lớn giai đoạn 1980-2024, cho thấy khoảng trống thực nghiệm trong việc kiểm định đồng thời phi tuyến và tác động điều tiết đa tầng ở châu Á. Hệ giả thuyết H1-H6 được phát triển: H1 phi tuyến dạng chữ U ngược hoặc S-curve; H2 năng lực công nghệ (Technological Capability Index, TCI) điều tiết tích cực; H3a-H3b năng lực số (Digital Adoption Index, DAI) điều tiết phụ thuộc chế độ thể chế: có điều kiện ở nhóm đang nổi/cận biên (Emerging/Frontier) (H3a, dương trong OLS nhưng phụ thuộc bối cảnh và có thể null trong kiểm định nhân quả) và có điều kiện/null ở nhóm tiên tiến (Advanced) (H3b), phân biệt với TCI; H4 (kiểm soát quản trị nội sinh) đưa đặc điểm nhà quản trị (kinh nghiệm, học vấn, giới tính) vào như nhóm biến kiểm soát quản trị nội sinh, không phải biến điều tiết (moderator) trọng tâm, nhằm khóa chặt thiên lệch nội sinh phát sinh từ năng lực và sự đa dạng giới của nhà quản trị và tăng tính nhận dạng riêng phần (partial identification) của tương tác Thể chế × Công nghệ; H5 thể chế nội địa điều tiết theo dải biến thiên (gradient) ICRV sáu nhóm; H6 tính không đồng nhất theo thời gian. Bốn biến điều tiết trọng tâm của khung là TCI (H2), DAI (H3), chế độ thể chế ICRV (H5), và thời gian (H6). Tám mô hình thực nghiệm M0-M7 được đặc tả, từ mức cơ sở (baseline) tuyến tính đến mô hình điều tiết ba chiều cấp luận án. Chiến lược nhận dạng đa tầng và kế hoạch kiểm định độ vững toàn diện được thiết kế cho nhóm dữ liệu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tiên tiến (Advanced) thành tiên tiến đổi mới sáng tạo dẫn dắt (ICRV Nhóm I) và tiên tiến tài nguyên dẫn dắt (ICRV Nhóm II). Ba phân tích quốc gia đồng hành trong chuỗi luận án, phân tích Việt Nam và Singapore, và phân tích Trung Quốc,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(Vietnam analysis IV: β = 0.018, p =.942), conditional or null for Advanced (H3b), and distinguishable from TCI; H4 (endogenous governance control) enters top manager characteristics (experience, education, and gender) as a set of endogenous governance control variables rather than focal moderators, locking down the endogeneity bias arising from managerial capability and gender diversity in order to improve partial identification of the Institution × Technology interaction; H5 home-country institutions moderating along the ICRV six-regime gradient; H6 temporal heterogeneity. The four focal moderators of the framework are TCI (H2), DAI (H3), the ICRV institutional regime (H5), and time (H6).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country analyses within the dissertation series, the Vietnam analysis, the Singapore analysis, and the China analysis,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Hàm ý quản trị: lộ trình chiến lược ba giai đoạn</w:t>
      </w:r>
      <w:r>
        <w:t xml:space="preserve"> </w:t>
      </w:r>
      <w:r>
        <w:t xml:space="preserve">2.4.3 Hạn chế nghiên cứu</w:t>
      </w:r>
      <w:r>
        <w:t xml:space="preserve"> </w:t>
      </w:r>
      <w:r>
        <w:t xml:space="preserve">2.4.4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phân tích quốc gia đồng hành</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1"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et al., 1997), S-curve (Lu &amp; Beamish, 2004; Contractor et al., 2003), M-curve (Riahi-Belkaoui, 1998), và chi phí buộc phải quốc tế hóa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quốc tế hóa–hiệu quả (internationalization–performance,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hình thái (pattern) then chốt: (1) phân tán năng suất tăng đơn điệu theo chế độ thể chế từ Nhóm I đến Nhóm VI; (2) tính không đồng nhất nội bộ rõ rệt trong nhóm tiên tiến (Advanced); và (3) hình thái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hình thái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hình thái này.</w:t>
      </w:r>
    </w:p>
    <w:p>
      <w:pPr>
        <w:pStyle w:val="BodyText"/>
      </w:pPr>
      <w:r>
        <w:t xml:space="preserve">Khung đề xuất không dừng lại ở lý thuyết: bốn phân tích quốc gia đồng hành trong chuỗi luận án đã cung cấp bằng chứng quốc gia cụ thể để kiểm định khả năng giải thích của nó. Phân tích Trung Quốc SMEs (Đỗ &amp; Phan, 2026, JFAR đã công bố) trên 2.700 doanh nghiệp SMEs Trung Quốc tìm thấy dạng bậc ba (cubic nonlinearity / S-curve ba giai đoạn), cung cấp tiền thân thực nghiệm cho H1 và cơ sở để so sánh với phân tích Trung Quốc hai sóng. Phân tích Việt Nam trên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Phân tích Singapore trên 623 doanh nghiệp WBES 2023 cho thấy điểm uốn hàm ý ở FSTS khoảng 82% và DAI hoạt động như năng lực phụ thuộc bối cảnh với hệ số DAI×</w:t>
      </w:r>
      <m:oMath>
        <m:sSup>
          <m:e>
            <m:r>
              <m:rPr>
                <m:nor/>
                <m:sty m:val="p"/>
              </m:rPr>
              <m:t>FSTS</m:t>
            </m:r>
          </m:e>
          <m:sup>
            <m:r>
              <m:t>2</m:t>
            </m:r>
          </m:sup>
        </m:sSup>
      </m:oMath>
      <w:r>
        <w:t xml:space="preserve"> </w:t>
      </w:r>
      <w:r>
        <w:t xml:space="preserve">= +3,119 (p = 0,005). Phân tích Trung Quốc trên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các phân tích quốc gia của luận án (Việt Nam, Singapore, Trung Quốc).</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năng lực phụ thuộc bối cảnh.</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châu Á mới nổi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các phân tích quốc gia của luận án (Việt Nam, Singapore, Trung Quốc) theo nguyên tắc nghiên cứu dựa trên hiện tượng (Meyer et al., 2017).</w:t>
      </w:r>
    </w:p>
    <w:p>
      <w:pPr>
        <w:pStyle w:val="BodyText"/>
      </w:pPr>
      <w:r>
        <w:t xml:space="preserve">Phương pháp ước lượng chính: OLS với sai số chuẩn vững HC1 (robust standard errors; Long &amp; Ervin, 2000) làm chuẩn, hiệu ứng cố định hai chiều (fixed effects, quốc gia × năm), và biến công cụ (2SLS) để nhận dạng nhân quả cho TCI và DAI. Kiểm định phi tuyến áp dụng kiểm định U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hình thái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bối cảnh thể chế quốc gia xuất xứ điều tiết đáng kể mối quan hệ I-P, củng cố cơ sở cho H5 (điều tiết theo chế độ thể chế ICRV), trong nghiên cứu này được vận hành hóa như sự thay đổi</w:t>
      </w:r>
      <w:r>
        <w:t xml:space="preserve"> </w:t>
      </w:r>
      <w:r>
        <w:rPr>
          <w:iCs/>
          <w:i/>
        </w:rPr>
        <w:t xml:space="preserve">độ cong (concavity)</w:t>
      </w:r>
      <w:r>
        <w:t xml:space="preserve"> </w:t>
      </w:r>
      <w:r>
        <w:t xml:space="preserve">của đường cong theo chất lượng thể chế, chứ không phải sự dịch chuyển đơn điệu của điểm uốn.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có mức dị biệt cao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Kiểm soát (H4: kiểm soát quản trị nội sinh)</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nghiên cứu SMEs Trung Quốc của Đỗ &amp; Phan (2026, JFAR) không kiểm định CDCM (pre-framework) nhưng cung cấp bằng chứng phi tuyến cubic tiền thân.</w:t>
      </w:r>
    </w:p>
    <w:bookmarkEnd w:id="35"/>
    <w:bookmarkStart w:id="36" w:name="X87876e758b6f1bc3610c3cd7a165503b53f90f4"/>
    <w:p>
      <w:pPr>
        <w:pStyle w:val="Heading5"/>
      </w:pPr>
      <w:r>
        <w:t xml:space="preserve">Bằng chứng châu Á từ ba phân tích quốc gia đồng hành</w:t>
      </w:r>
    </w:p>
    <w:p>
      <w:pPr>
        <w:pStyle w:val="FirstParagraph"/>
      </w:pPr>
      <w:r>
        <w:t xml:space="preserve">Phân tích Việt Nam của luận án: trên 2.958 doanh nghiệp WBES ba sóng (2009, 2015, 2023), kết quả xác nhận chữ U ngược trong cả ba sóng với kiểm định Lind-Mehlum p &lt; 0,001 (tổng hợp). Điểm uốn: 46,2% (2009), 39,3% (2015), 41,6% (2023), 39,7% (tổng hợp). Phân tích này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của phân tích Việt Nam: phân tích Việt Nam của luận án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của phân tích Việt Nam được trình bày trong luận án (Mục 4.5.1). Chuỗi M0-M7 trong Chuyên đề 2 là các mô hình cấp độ pool 47 quốc gia, khác với đặc tả cấp độ quốc gia của phân tích Việt Nam.</w:t>
      </w:r>
    </w:p>
    <w:p>
      <w:pPr>
        <w:pStyle w:val="BodyText"/>
      </w:pPr>
      <w:r>
        <w:t xml:space="preserve">Phân tích Singapore của luận án: trên 623 doanh nghiệp WBES 2023, trong nền kinh tế số bão hòa, đường cong I-P chủ yếu dương, điểm uốn hàm ý ở FSTS khoảng 82% (vùng thưa dữ liệu; kiểm định Lind-Mehlum p = 0,303). DAI×</w:t>
      </w:r>
      <m:oMath>
        <m:sSup>
          <m:e>
            <m:r>
              <m:rPr>
                <m:nor/>
                <m:sty m:val="p"/>
              </m:rPr>
              <m:t>FSTS</m:t>
            </m:r>
          </m:e>
          <m:sup>
            <m:r>
              <m:t>2</m:t>
            </m:r>
          </m:sup>
        </m:sSup>
      </m:oMath>
      <w:r>
        <w:t xml:space="preserve"> </w:t>
      </w:r>
      <w:r>
        <w:t xml:space="preserve">= +3,119 (p = 0,005), DAI là năng lực phụ thuộc bối cảnh, chỉ phát huy ở FSTS cao nơi nhu cầu điều phối xuyên biên giới dày đặc. TCI dương trực tiếp (β = 0,153).</w:t>
      </w:r>
    </w:p>
    <w:p>
      <w:pPr>
        <w:pStyle w:val="BodyText"/>
      </w:pPr>
      <w:r>
        <w:t xml:space="preserve">Phân tích Trung Quốc của luận án: trên 4.559 doanh nghiệp WBES hai sóng (2012, 2024), kết quả cho thấy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phân tích quốc gia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SMEs Trung Quốc (Nhóm III)</w:t>
            </w:r>
          </w:p>
        </w:tc>
        <w:tc>
          <w:tcPr/>
          <w:p>
            <w:pPr>
              <w:pStyle w:val="Compact"/>
              <w:jc w:val="left"/>
            </w:pPr>
            <w:r>
              <w:t xml:space="preserve">Việt Nam (Nhóm IV)</w:t>
            </w:r>
          </w:p>
        </w:tc>
        <w:tc>
          <w:tcPr/>
          <w:p>
            <w:pPr>
              <w:pStyle w:val="Compact"/>
              <w:jc w:val="left"/>
            </w:pPr>
            <w:r>
              <w:t xml:space="preserve">Singapore (Nhóm I)</w:t>
            </w:r>
          </w:p>
        </w:tc>
        <w:tc>
          <w:tcPr/>
          <w:p>
            <w:pPr>
              <w:pStyle w:val="Compact"/>
              <w:jc w:val="left"/>
            </w:pPr>
            <w:r>
              <w:t xml:space="preserve">Trung Quốc (Nhóm III)</w:t>
            </w:r>
          </w:p>
        </w:tc>
      </w:tr>
      <w:tr>
        <w:tc>
          <w:tcPr/>
          <w:p>
            <w:pPr>
              <w:pStyle w:val="Compact"/>
              <w:jc w:val="left"/>
            </w:pPr>
            <w:r>
              <w:t xml:space="preserve">Nguồn</w:t>
            </w:r>
          </w:p>
        </w:tc>
        <w:tc>
          <w:tcPr/>
          <w:p>
            <w:pPr>
              <w:pStyle w:val="Compact"/>
              <w:jc w:val="left"/>
            </w:pPr>
            <w:r>
              <w:t xml:space="preserve">Đỗ &amp; Phan (JFAR, đã công bố 2026)</w:t>
            </w:r>
          </w:p>
        </w:tc>
        <w:tc>
          <w:tcPr/>
          <w:p>
            <w:pPr>
              <w:pStyle w:val="Compact"/>
              <w:jc w:val="left"/>
            </w:pPr>
            <w:r>
              <w:t xml:space="preserve">Phân tích Việt Nam của luận án</w:t>
            </w:r>
          </w:p>
        </w:tc>
        <w:tc>
          <w:tcPr/>
          <w:p>
            <w:pPr>
              <w:pStyle w:val="Compact"/>
              <w:jc w:val="left"/>
            </w:pPr>
            <w:r>
              <w:t xml:space="preserve">Phân tích Singapore của luận án</w:t>
            </w:r>
          </w:p>
        </w:tc>
        <w:tc>
          <w:tcPr/>
          <w:p>
            <w:pPr>
              <w:pStyle w:val="Compact"/>
              <w:jc w:val="left"/>
            </w:pPr>
            <w:r>
              <w:t xml:space="preserve">Phân tích Trung Quốc của luận án</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~82%</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~82%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nghiên cứu SMEs Trung Quốc của Đỗ &amp; Phan (2026, JFAR) là công trình tiền thân đã công bố, tìm thấy bậc ba (cubic nonlinearity) trong mẫu SMEs Trung Quốc, bằng chứng quan trọng cho dạng S-curve trong H1. Nghiên cứu này không kiểm định CDCM, được đưa vào đây để làm rõ sự tiến hóa phương pháp từ mẫu SMEs Trung Quốc sang phân tích Trung Quốc hai sóng của luận án.</w:t>
      </w:r>
    </w:p>
    <w:p>
      <w:pPr>
        <w:pStyle w:val="BodyText"/>
      </w:pPr>
      <w:r>
        <w:t xml:space="preserve">Bốn phân tích cùng xác nhận ba dự đoán cốt lõi của CDCM: TCI là nhân quả và bền vững qua ba nền kinh tế khác nhau; DAI là phụ thuộc ngữ cảnh, không đồng nhất; chữ U ngược (hoặc S-curve cubic trong nghiên cứu SMEs Trung Quốc đã công bố)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lập luận cho hiệu ứng phi tuyến trong H1. Doanh nghiệp tăng cường độ xuất khẩu đối mặt với chi phí học tập ban đầu, sau đó thu được lợi ích quy mô, nhưng vượt quá ngưỡng nhất định lại chịu chi phí phối hợp. Bằng chứng từ phân tích Việt Nam của luận án (điểm uốn 39-46%) và phân tích Trung Quốc của luận án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từ phân tích Việt Nam của luận án (TCI trực tiếp β = 0,179, nhân quả từ IV) và phân tích Trung Quốc của luận án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cơ sở lập luận cho H5 (thể chế ICRV điều tiết theo dải biến thiên,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cơ sở lý thuyết cho khối kiểm soát quản trị nội sinh H4 (kinh nghiệm, học vấn, giới tính nhà quản trị). Để tăng tính nhận dạng riêng phần (partial identification) của tương tác Thể chế × Công nghệ vốn là thông điệp vĩ mô của khung,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Các đặc điểm này tác động qua hai kênh, chất lượng quyết định (tránh quốc tế hóa sớm) và năng lực điều phối (quản lý phức tạp đa thị trường); việc kiểm soát chúng, thay vì đặt chúng làm trục điều tiết, tránh thiên lệch biến bị bỏ sót (omitted-variable bias) và ngăn hiện tượng</w:t>
      </w:r>
      <w:r>
        <w:t xml:space="preserve"> </w:t>
      </w:r>
      <w:r>
        <w:t xml:space="preserve">“</w:t>
      </w:r>
      <w:r>
        <w:t xml:space="preserve">Kitchen Sink Modeling</w:t>
      </w:r>
      <w:r>
        <w:t xml:space="preserve">”</w:t>
      </w:r>
      <w:r>
        <w:t xml:space="preserve"> </w:t>
      </w:r>
      <w:r>
        <w:t xml:space="preserve">làm loãng thông điệp vĩ mô Institution × Technology. Đặc điểm nhà quản trị vẫn được ước lượng trong các mô hình thực nghiệm, song với tư cách biến kiểm soát. Lý do giữ Upper Echelons như một trụ lý thuyết, thay vì loại bỏ hoàn toàn, là kép: (i) nó cung cấp nền tảng lý thuyết biện minh cho việc đưa khối biến kiểm soát quản trị vào mô hình, bởi nếu thiếu thì việc kiểm soát kinh nghiệm, học vấn và giới tính nhà quản trị sẽ không có cơ sở lý thuyết rõ ràng; (ii) các dự đoán cấp doanh nghiệp của nó vẫn được kiểm định và cho một phát hiện thứ cấp có giá trị xã hội, là phần bù năng suất của nhà quản trị nữ (khoảng 20%, β = +0,185, p &lt; 0,001 ở phân tích đa quốc gia). Như vậy, Upper Echelons không phải là</w:t>
      </w:r>
      <w:r>
        <w:t xml:space="preserve"> </w:t>
      </w:r>
      <w:r>
        <w:t xml:space="preserve">“</w:t>
      </w:r>
      <w:r>
        <w:t xml:space="preserve">trang trí lý thuyết</w:t>
      </w:r>
      <w:r>
        <w:t xml:space="preserve">”</w:t>
      </w:r>
      <w:r>
        <w:t xml:space="preserve"> </w:t>
      </w:r>
      <w:r>
        <w:t xml:space="preserve">mà là một trụ được kiểm định, với hiệu ứng cấp độ (level effect) được xác nhận và vai trò điều tiết hình dạng đường cong bị bác bỏ.</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cung cấp bằng chứng rằng nền tảng số cho phép doanh nghiệp nhỏ ở thị trường mới nổi quốc tế hóa với chi phí gần bằng zero, thay đổi căn bản lập luận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phân tích Singapore của luận án). Ở Nhóm IV, DAI dương nhưng phụ thuộc giai đoạn và chịu thiên lệch chọn lựa (phân tích Việt Nam của luận án).</w:t>
      </w:r>
    </w:p>
    <w:p>
      <w:pPr>
        <w:pStyle w:val="BodyText"/>
      </w:pPr>
      <w:r>
        <w:t xml:space="preserve">Chiều thứ hai là mức độ quốc tế hóa (FSTS): DAI là năng lực phụ thuộc bối cảnh, hiệu quả hơn ở FSTS cao nơi nhu cầu điều phối xuyên biên giới dày đặc (phân tích Singapore của luận án: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từ các phân tích quốc gia của luận án</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Việt Nam: TP 39-46%; Trung Quốc: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Việt Nam: β = 0,179 nhân quả (IV); Trung Quốc: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Singapore: DAI×</w:t>
            </w:r>
            <m:oMath>
              <m:sSup>
                <m:e>
                  <m:r>
                    <m:rPr>
                      <m:nor/>
                      <m:sty m:val="p"/>
                    </m:rPr>
                    <m:t>FSTS</m:t>
                  </m:r>
                </m:e>
                <m:sup>
                  <m:r>
                    <m:t>2</m:t>
                  </m:r>
                </m:sup>
              </m:sSup>
            </m:oMath>
            <w:r>
              <w:t xml:space="preserve"> </w:t>
            </w:r>
            <w:r>
              <w:t xml:space="preserve">= +3,119 (Nhóm I); Việt Nam: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(kiểm soát quản trị nội sinh, không phải điều tiết trọng tâm)</w:t>
            </w:r>
          </w:p>
        </w:tc>
        <w:tc>
          <w:tcPr/>
          <w:p>
            <w:pPr>
              <w:pStyle w:val="Compact"/>
              <w:jc w:val="left"/>
            </w:pPr>
            <w:r>
              <w:t xml:space="preserve">(đưa vào như kiểm soát nội sinh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Dải biến thiên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Việt Nam: Paternoster p &lt; 0,001; Trung Quốc: TCI Paternoster p = 0,011</w:t>
            </w:r>
          </w:p>
        </w:tc>
      </w:tr>
    </w:tbl>
    <w:p>
      <w:pPr>
        <w:pStyle w:val="BodyText"/>
      </w:pPr>
      <w:r>
        <w:t xml:space="preserve">Lập luận tích hợp: quốc tế hóa là quyết định chiến lược theo lập luận Uppsala (tầng 1); kết quả phụ thuộc nguồn lực doanh nghiệp, TCI (RBV/Lall, 1992) đóng vai trò nâng mặt bằng nhân quả; được hỗ trợ bởi hạ tầng số có điều kiện, DAI (Foundational Digital Adoption Framework/Verhoef et al., 2021) là năng lực phụ thuộc bối cảnh theo CDCM; phản ánh đặc điểm nhà quản trị (Upper Echelons/Hambrick &amp; Mason, 1984); bị khuôn khổ bởi thể chế nội địa (Institutional Theory/North, 1990), dải biến thiên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hiệu ứng cố định quốc gia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 trọng tâm</w:t>
      </w:r>
      <w:r>
        <w:t xml:space="preserve"> </w:t>
      </w:r>
      <w:r>
        <w:t xml:space="preserve">cấp doanh nghiệp (TCI, DAI) và cấp quốc gia (chế độ thể chế ICRV, thời gian), và</w:t>
      </w:r>
      <w:r>
        <w:t xml:space="preserve"> </w:t>
      </w:r>
      <w:r>
        <w:rPr>
          <w:bCs/>
          <w:b/>
        </w:rPr>
        <w:t xml:space="preserve">biến kiểm soát</w:t>
      </w:r>
      <w:r>
        <w:t xml:space="preserve"> </w:t>
      </w:r>
      <w:r>
        <w:t xml:space="preserve">gồm khối kiểm soát quản trị nội sinh (kinh nghiệm, học vấn, giới tính nhà quản trị, H4) cùng các kiểm soát chuẩn (quy mô, tuổi, sở hữu nước ngoài, sector FE, country FE, year FE). Đặc điểm nhà quản trị được đưa vào như biến kiểm soát quản trị nội sinh chứ không phải nhân tố điều tiết trọng tâm; lựa chọn này nhằm khóa chặt thiên lệch nội sinh phát sinh từ năng lực và sự đa dạng giới của nhà quản trị, tăng tính nhận dạng riêng phần (partial identification) của tương tác Thể chế × Công nghệ vốn là thông điệp vĩ mô của khung.</w:t>
      </w:r>
    </w:p>
    <w:bookmarkStart w:id="48" w:name="X554d9a38aa5071c54dd41cf832555f814bf88a4"/>
    <w:p>
      <w:pPr>
        <w:pStyle w:val="Heading5"/>
      </w:pPr>
      <w:r>
        <w:t xml:space="preserve">Hình 2.1, Khung khái niệm tích hợp (tổng quan)</w:t>
      </w:r>
    </w:p>
    <w:p>
      <w:pPr>
        <w:pStyle w:val="CaptionedFigure"/>
      </w:pPr>
      <w:r>
        <w:drawing>
          <wp:inline>
            <wp:extent cx="5334000" cy="3579627"/>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334000" cy="3579627"/>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Mô hình khái niệm thống nhất luận án (CDCM — Context-Contingent Digital-and-Capability Model). Hình chữ nhật biểu thị biến quan sát được; hình ellipse biểu thị cấu trúc tiềm ẩn (TCI, ICRV, DAI). H1a (+) và H1b (−) xác định quan hệ phi tuyến chữ U ngược (điểm uốn ≈ 36%; H1b điều kiện biên: SIDS/FIP âm đơn điệu). H2 TCI nâng mặt bằng hiệu quả. H3 DAI tái định hình đường cong phụ thuộc bối cảnh. H5 ICRV chi phối độ cong/biên độ. Mũi tên hai chiều đứt nét biểu thị thay thế số–thể chế (DAI×ICRV,</w:t>
      </w:r>
      <w:r>
        <w:t xml:space="preserve"> </w:t>
      </w:r>
      <m:oMath>
        <m:r>
          <m:t>p</m:t>
        </m:r>
      </m:oMath>
      <w:r>
        <w:t xml:space="preserve"> </w:t>
      </w:r>
      <w:r>
        <w:t xml:space="preserve">=,049). Kiểm soát Bậc trên (H4) đưa vào như biến kiểm soát quản trị nội sinh.</w:t>
      </w:r>
      <w:r>
        <w:t xml:space="preserve"> </w:t>
      </w:r>
      <w:r>
        <w:rPr>
          <w:iCs/>
          <w:i/>
        </w:rPr>
        <w:t xml:space="preserve">Nguồn: tác giả tự xây dựng.</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Sơ đồ phân biệt rõ hai loại nhân tố. Bốn nhân tố điều tiết trọng tâm (focal moderators) nằm trong tầng điều tiết được giả thuyết hóa, phân theo hai cấp: cấp doanh nghiệp (TCI, H2, và DAI, H3) và cấp quốc gia (chế độ thể chế ICRV, H5, và giai đoạn thời gian, H6). Đặc điểm nhà quản trị (kinh nghiệm, học vấn, giới tính, H4) KHÔNG nằm trong tầng điều tiết trọng tâm mà được trình bày cùng nhóm biến kiểm soát quản trị nội sinh, nhằm khóa chặt thiên lệch nội sinh từ năng lực và sự đa dạng giới của nhà quản trị và tăng tính nhận dạng riêng phần (partial identification) của tương tác Thể chế × Công nghệ. Các biến kiểm soát khác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(TCI điều tiết trọng tâm); Foundational Digital Adoption Framework (CDCM) biện minh cho H3 (DAI điều tiết trọng tâm); Institutional Theory biện minh cho H5 (điều tiết trọng tâm); Upper Echelons cung cấp cơ sở cho khối kiểm soát quản trị nội sinh H4. Bằng chứng neo đậu từ phân tích Việt Nam và Singapore và phân tích Trung Quốc của luận án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334000" cy="3579627"/>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334000" cy="3579627"/>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chế độ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phân tích Singapore của luận án). Nhóm IV (Việt Nam, Lower_mid_transition, bão hòa số thấp; Nhóm IV trong cả hệ phân loại 5 nhóm của phân tích tổng hợp lẫn hệ 6 nhóm của CĐ2): DAI Tier-1 là ràng buộc đo lường; tác động dương theo OLS nhưng biến mất sau hiệu chỉnh nội sinh biến công cụ (β = 0,018, p = 0,942; phân tích Việt Nam của luận án). Nhóm III (Trung Quốc, Upper-Middle/Emerging transition, bão hòa số trung bình): DAI Tier-1 phổ biến &gt;60%, mất khả năng phân biệt, giữ như biến kiểm soát không phải biến điều tiết (phân tích Trung Quốc của luận án).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δ_exp &gt; 0</w:t>
            </w:r>
          </w:p>
        </w:tc>
        <w:tc>
          <w:tcPr/>
          <w:p>
            <w:pPr>
              <w:pStyle w:val="Compact"/>
              <w:jc w:val="left"/>
            </w:pPr>
            <w:r>
              <w:t xml:space="preserve">H4a (kiểm soát quản trị nội sinh)</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δ_educ &gt; 0</w:t>
            </w:r>
          </w:p>
        </w:tc>
        <w:tc>
          <w:tcPr/>
          <w:p>
            <w:pPr>
              <w:pStyle w:val="Compact"/>
              <w:jc w:val="left"/>
            </w:pPr>
            <w:r>
              <w:t xml:space="preserve">H4b (kiểm soát quản trị nội sinh)</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two-sided</w:t>
            </w:r>
          </w:p>
        </w:tc>
        <w:tc>
          <w:tcPr/>
          <w:p>
            <w:pPr>
              <w:pStyle w:val="Compact"/>
              <w:jc w:val="left"/>
            </w:pPr>
            <w:r>
              <w:t xml:space="preserve">H4c (kiểm soát đa dạng giới)</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Dải biến thiên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Xd5c539f936b2f6d69143bfcced0f271bd85d296"/>
    <w:p>
      <w:pPr>
        <w:pStyle w:val="Heading5"/>
      </w:pPr>
      <w:r>
        <w:t xml:space="preserve">Tổng quan và lập luận phát triển giả thuyết</w:t>
      </w:r>
    </w:p>
    <w:p>
      <w:pPr>
        <w:pStyle w:val="FirstParagraph"/>
      </w:pPr>
      <w:r>
        <w:t xml:space="preserve">Hệ giả thuyết H1-H6 được phát triển từ khung lý thuyết tích hợp và bằng chứng thực nghiệm từ các nghiên cứu, với neo đậu trong ba phân tích quốc gia đồng hành (Việt Nam, Singapore, Trung Quốc) của luận án. Bốn nguyên tắc phát triển giả thuyết: cụ thể hóa dự đoán dấu; neo đậu thực nghiệm từ ít nhất một bằng chứng từ các phân tích quốc gia của luận án hoặc tổng quan định lượng; phân biệt giả thuyết xác nhận và khám phá; liên kết với CDCM.</w:t>
      </w:r>
    </w:p>
    <w:p>
      <w:pPr>
        <w:pStyle w:val="BodyText"/>
      </w:pPr>
      <w:r>
        <w:t xml:space="preserve">H1-H3 và H5 là các giả thuyết điều tiết trọng tâm có tính xác nhận (dấu rõ, $</w:t>
      </w:r>
      <w:r>
        <w:t xml:space="preserve">$2 bằng chứng neo đậu từ phân tích Việt Nam, Singapore và Trung Quốc); H6 là hỗn hợp xác nhận/khám phá (hướng rõ nhưng magnitude khám phá). Bốn nhân tố điều tiết trọng tâm của khung là TCI (H2), DAI (H3), chế độ thể chế ICRV (H5), và thời gian (H6). Khác với chúng, H4 (kiểm soát quản trị nội sinh) không còn là giả thuyết điều tiết trọng tâm: đặc điểm nhà quản trị (kinh nghiệm b5, học vấn b7a, giới tính b7) được đưa vào như nhóm biến kiểm soát quản trị nội sinh nhằm khóa chặt thiên lệch nội sinh phát sinh từ năng lực và sự đa dạng giới của nhà quản trị, qua đó tăng tính nhận dạng riêng phần (partial identification) của tương tác Thể chế × Công nghệ. H4 vẫn giữ ký hiệu H4a-H4c để tương thích với các bản thảo đồng hành (phân tích Việt Nam, Singapore và Trung Quốc), song được diễn giải như tập kiểm soát chứ không phải trục điều tiết.</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Điều mà chế độ thể chế chi phối một cách có hệ thống là</w:t>
      </w:r>
      <w:r>
        <w:t xml:space="preserve"> </w:t>
      </w:r>
      <w:r>
        <w:rPr>
          <w:bCs/>
          <w:b/>
        </w:rPr>
        <w:t xml:space="preserve">độ cong (concavity / biên độ)</w:t>
      </w:r>
      <w:r>
        <w:t xml:space="preserve"> </w:t>
      </w:r>
      <w:r>
        <w:t xml:space="preserve">của hình chữ U ngược, chứ không phải một dải biến thiên điểm uốn đơn điệu: độ cong sâu dần khi chất lượng thể chế suy giảm, làm hình phạt sau đỉnh gay gắt hơn ở các chế độ thể chế yếu và phẳng dần về gần tuyến tính ở chế độ tiên tiến (Nhóm I). Điểm uốn theo nhóm là không đồng nhất (khoảng 16–50% FSTS, cụm quanh ~40%) và không dịch chuyển đơn điệu; ở cấp đơn quốc gia, các neo đậu quan sát được gồm Nhóm III (47-49%) và Nhóm IV (39-46%), còn Nhóm VI có hình thái gánh nặng bắt buộc, không có chữ U ngược điển hình. Lưu ý: phân tích Singapore (TP ~82%) là ngoại lệ đơn quốc gia với LM p = 0,303 (không có ý nghĩa), không đại diện cho mẫu Nhóm I trong phân tích đa quốc gia.</w:t>
      </w:r>
    </w:p>
    <w:p>
      <w:pPr>
        <w:pStyle w:val="BodyText"/>
      </w:pPr>
      <w:r>
        <w:t xml:space="preserve">Bằng chứng neo đậu: phân tích Việt Nam (Nhóm IV): Lind-Mehlum p &lt; 0,001 (tổng hợp), điểm uốn 39-46%. phân tích Trung Quốc (Nhóm III): Lind-Mehlum xác nhận hai sóng, điểm uốn 47-49%. phân tích Singapore (Nhóm I): Lind-Mehlum p = 0,303, chủ yếu dương, điểm uốn ~82%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w:t>
      </w:r>
      <w:r>
        <w:t xml:space="preserve"> </w:t>
      </w:r>
      <w:r>
        <w:rPr>
          <w:bCs/>
          <w:b/>
        </w:rPr>
        <w:t xml:space="preserve">Độ cong (concavity / biên độ)</w:t>
      </w:r>
      <w:r>
        <w:t xml:space="preserve"> </w:t>
      </w:r>
      <w:r>
        <w:t xml:space="preserve">sâu dần theo dải biến thiên ICRV khi chất lượng thể chế suy giảm: gần tuyến tính ở Nhóm I và cong sâu hơn ở các nhóm thể chế yếu, với Nhóm VI có hình thái (pattern) gánh nặng bắt buộc (không có điểm uốn). Điểm uốn theo nhóm là không đồng nhất (cụm quanh ~40%) và không dịch chuyển đơn điệu; thể chế càng yếu, hình phạt sau đỉnh cho quốc tế hóa quá mức càng gay gắt.</w:t>
      </w:r>
    </w:p>
    <w:p>
      <w:pPr>
        <w:pStyle w:val="BodyText"/>
      </w:pPr>
      <w:r>
        <w:t xml:space="preserve">H1a (</w:t>
      </w:r>
      <w:r>
        <w:t xml:space="preserve">“</w:t>
      </w:r>
      <w:r>
        <w:t xml:space="preserve">Vách gia nhập</w:t>
      </w:r>
      <w:r>
        <w:t xml:space="preserve">”</w:t>
      </w:r>
      <w:r>
        <w:t xml:space="preserve">, biên tham gia): Bước chuyển rời rạc từ không xuất khẩu (FSTS = 0) sang có xuất khẩu (FSTS &gt; 0) tạo ra một bậc nhảy năng suất lao động dương và đáng kể, đây mới là động lực chính của hiệu ứng I-P. Cơ chế là sự hấp thụ chi phí cố định (fixed-cost absorption): doanh nghiệp vượt được ngưỡng đầu tư ban đầu để tham gia thị trường xuất khẩu (tuân thủ tiêu chuẩn, kênh phân phối, năng lực ngoại thương) sẽ phân bổ chi phí cố định đó lên một nền doanh thu rộng hơn và tự chọn lọc về nhóm doanh nghiệp năng suất cao hơn theo lập luận Melitz (2003). Phần lớn lợi ích I-P do đó được hiện thực hóa ngay tại biên tham gia, chứ không phải dọc theo biên cường độ.</w:t>
      </w:r>
    </w:p>
    <w:p>
      <w:pPr>
        <w:pStyle w:val="BodyText"/>
      </w:pPr>
      <w:r>
        <w:t xml:space="preserve">H1b (biên cường độ, gần phẳng/gần tuyến tính): Trong mẫu chỉ gồm doanh nghiệp đã xuất khẩu, quỹ đạo I-P gần như phẳng; thành phần bậc hai mất ý nghĩa thống kê. Bằng chứng neo đậu trực tiếp là kết quả trong nội bộ nhóm xuất khẩu (within-exporter) của phân tích Việt Nam, nơi số hạng</w:t>
      </w:r>
      <w:r>
        <w:t xml:space="preserve"> </w:t>
      </w:r>
      <m:oMath>
        <m:sSup>
          <m:e>
            <m:r>
              <m:rPr>
                <m:nor/>
                <m:sty m:val="p"/>
              </m:rPr>
              <m:t>FSTS</m:t>
            </m:r>
          </m:e>
          <m:sup>
            <m:r>
              <m:t>2</m:t>
            </m:r>
          </m:sup>
        </m:sSup>
      </m:oMath>
      <w:r>
        <w:t xml:space="preserve"> </w:t>
      </w:r>
      <w:r>
        <w:t xml:space="preserve">trong mẫu con doanh nghiệp xuất khẩu cho p = 0,660 (không có ý nghĩa), cho thấy độ cong chữ U ngược quan sát ở mẫu đầy đủ chủ yếu được dẫn dắt bởi vách gia nhập H1a chứ không phải bởi sự suy giảm hiệu suất ở cường độ cao trong nội bộ nhóm xuất khẩu. Hệ quả: sau khi đã gia nhập, việc tăng tỉ lệ xuất khẩu tiếp theo chỉ tạo thêm năng suất khi được hậu thuẫn bởi năng lực công nghệ lõi (TCI) hoặc, trong những chế độ phù hợp, bởi năng lực số (DAI); bản thân cường độ xuất khẩu không tự sinh lợi.</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phân tích Việt Nam: β(TCI) = 0,179 (p &lt; 0,001) bền vững 3 sóng; biến công cụ cho β(TCI) = 1,639 (p &lt; 0,001, F bậc một = 22,1), TCI là nhân quả. phân tích Trung Quốc: β_z(TCI) tăng từ +0,260 (2012) lên +0,426 (2024), Paternoster z = −2,55 (p = 0,011), TCI nâng mặt bằng tăng cường theo thời gian. phân tích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Sự phân biệt cơ chế giữa TCI và DAI là trục lý thuyết cốt lõi của khung và cần được phát biểu sắc nét. TCI là nguồn lực</w:t>
      </w:r>
      <w:r>
        <w:t xml:space="preserve"> </w:t>
      </w:r>
      <w:r>
        <w:t xml:space="preserve">“</w:t>
      </w:r>
      <w:r>
        <w:t xml:space="preserve">nâng mặt bằng</w:t>
      </w:r>
      <w:r>
        <w:t xml:space="preserve">”</w:t>
      </w:r>
      <w:r>
        <w:t xml:space="preserve"> </w:t>
      </w:r>
      <w:r>
        <w:t xml:space="preserve">(level-shifter) mang tính nhân quả: nội tại, tích lũy theo thời gian, khó bắt chước (VRIN), nó nâng toàn bộ đường cong năng suất một cách đồng nhất qua mọi mức FSTS và mọi chế độ thể chế, đúng như bằng chứng nhân quả từ biến công cụ ở phân tích Việt Nam (β_IV = 1,639) và xu hướng tăng cường theo thời gian ở phân tích Trung Quốc. Ngược lại, DAI là năng lực phụ thuộc bối cảnh (curve-reshaper / situational), mang tính ngoại tại và phụ thuộc hệ sinh thái số: tác động của nó không cố định mà bật/tắt theo bối cảnh, chỉ phát huy khi nhu cầu điều phối xuyên biên giới đủ dày (FSTS cao, phân tích Singapore) hoặc khi nó bù đắp khoảng trống thể chế (chế độ yếu, Lá chắn số). Một cách ngắn gọn: TCI dịch chuyển mặt bằng lợi nhuận, còn DAI mở rộng vùng điều kiện mà ở đó quốc tế hóa vẫn sinh lợi. Coltman và cộng sự (2008) xác nhận hai cấu trúc thỏa mãn tiêu chí tổng hợp formative riêng biệt, củng cố rằng đây là hai nguồn lực phân biệt chứ không phải hai thước đo của cùng một năng lực.</w:t>
      </w:r>
    </w:p>
    <w:p>
      <w:pPr>
        <w:pStyle w:val="BodyText"/>
      </w:pPr>
      <w:r>
        <w:t xml:space="preserve">Bằng chứng neo đậu: phân tích Singapore:</w:t>
      </w:r>
      <w:r>
        <w:t xml:space="preserve"> </w:t>
      </w:r>
      <m:oMath>
        <m:sSup>
          <m:e>
            <m:r>
              <m:rPr>
                <m:nor/>
                <m:sty m:val="p"/>
              </m:rPr>
              <m:t>FSTS</m:t>
            </m:r>
          </m:e>
          <m:sup>
            <m:r>
              <m:t>2</m:t>
            </m:r>
          </m:sup>
        </m:sSup>
      </m:oMath>
      <w:r>
        <w:t xml:space="preserve">×DAI = +3,119 (p = 0,005), DAI điều tiết theo bối cảnh có điều kiện. phân tích Việt Nam: biến công cụ null β = 0,018 (p = 0,942), OLS dương = phụ thuộc chọn lựa, không nhân quả. phân tích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năng lực phụ thuộc bối cảnh theo CDCM, với hướng và cường độ khác nhau rõ ràng giữa nhóm đang nổi/cận biên (Emerging/Frontier) và nhóm tiên tiến (Advanced). Hai giả thuyết con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sự hiện diện website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phân tích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giả thuyết con (giả thuyết phân biệt cấu trúc CDCM, CDCM distinctiveness hypothesis, H3c: β(TCI)</w:t>
      </w:r>
      <w:r>
        <w:t xml:space="preserve"> </w:t>
      </w:r>
      <m:oMath>
        <m:r>
          <m:rPr>
            <m:sty m:val="p"/>
          </m:rPr>
          <m:t>≠</m:t>
        </m:r>
      </m:oMath>
      <w:r>
        <w:t xml:space="preserve"> </w:t>
      </w:r>
      <w:r>
        <w:t xml:space="preserve">β(DAI) và hai cấu trúc thỏa mãn tiêu chí giá trị phân biệt, discriminant validity).</w:t>
      </w:r>
    </w:p>
    <w:p>
      <w:pPr>
        <w:pStyle w:val="BodyText"/>
      </w:pPr>
      <w:r>
        <w:rPr>
          <w:bCs/>
          <w:b/>
        </w:rPr>
        <w:t xml:space="preserve">H3d (Lá chắn số / Digital Shield, hiệu ứng hai chiều DAI×ICRV):</w:t>
      </w:r>
      <w:r>
        <w:t xml:space="preserve"> </w:t>
      </w:r>
      <w:r>
        <w:t xml:space="preserve">Trên toàn pool, DAI không định hình lại độ cong của đường cong I-P (tương tác ba chiều FSTS×DAI×ICRV β</w:t>
      </w:r>
      <w:r>
        <w:t xml:space="preserve"> </w:t>
      </w:r>
      <m:oMath>
        <m:r>
          <m:rPr>
            <m:sty m:val="p"/>
          </m:rPr>
          <m:t>≈</m:t>
        </m:r>
      </m:oMath>
      <w:r>
        <w:t xml:space="preserve"> </w:t>
      </w:r>
      <w:r>
        <w:t xml:space="preserve">−0,001, không có ý nghĩa, một ranh giới cấu trúc), nhưng vẫn phát huy vai trò bảo vệ năng suất qua tương tác hai chiều với chế độ thể chế: β(DAI×ICRV) có ý nghĩa (p = 0,049, phân tích đa quốc gia), với hiệu ứng mạnh nhất ở các chế độ thể chế yếu. Cơ chế: trong môi trường khoảng trống thể chế, năng lực số nền tảng hạ chi phí giao dịch và mở rộng tiếp cận thị trường ảo, do đó hoạt động như một tấm lá chắn giữ mặt bằng năng suất; trong khi đó, ở các chế độ thể chế mạnh nơi Tier-1 đã bão hòa, lợi thế biên của DAI co lại. Sự đối lập giữa null ba chiều và hiệu ứng hai chiều có ý nghĩa là bằng chứng then chốt cho CDCM: DAI là nguồn lực phụ thuộc bối cảnh, vận hành theo cơ chế bù đắp thể chế chứ không phải đòn bẩy định hình lại đường cong.</w:t>
      </w:r>
    </w:p>
    <w:bookmarkEnd w:id="58"/>
    <w:bookmarkStart w:id="59" w:name="Xee6d8de7996976d1b9ddab7bc4a3affe052579c"/>
    <w:p>
      <w:pPr>
        <w:pStyle w:val="Heading5"/>
      </w:pPr>
      <w:r>
        <w:t xml:space="preserve">H4 (kiểm soát quản trị nội sinh), Đặc điểm nhà quản trị</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Tuy vậy, trong khung CĐ2 các đặc điểm này không được nâng thành trục điều tiết trọng tâm. Để tăng tính nhận dạng riêng phần (partial identification) của tương tác Thể chế × Công nghệ,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Lựa chọn này có chủ đích về mặt phương pháp. Một mặt, nó tránh</w:t>
      </w:r>
      <w:r>
        <w:t xml:space="preserve"> </w:t>
      </w:r>
      <w:r>
        <w:t xml:space="preserve">“</w:t>
      </w:r>
      <w:r>
        <w:t xml:space="preserve">Kitchen Sink Modeling</w:t>
      </w:r>
      <w:r>
        <w:t xml:space="preserve">”</w:t>
      </w:r>
      <w:r>
        <w:t xml:space="preserve">, tức nhồi thêm một tầng điều tiết cấp vi mô làm loãng thông điệp vĩ mô Institution × Technology. Mặt khác, vì năng lực và sự đa dạng giới của nhà quản trị có thể đồng thời tác động đến quyết định xuất khẩu (FSTS), đến năng lực công nghệ (TCI), và đến năng suất, việc đưa chúng vào tập kiểm soát giúp hấp thụ thiên lệch biến bị bỏ sót và cô lập hiệu ứng nhân quả của tương tác trọng tâm. Trong bối cảnh WBES, ba biến đại diện có sẵn: số năm kinh nghiệm quản lý (b5), trình độ học vấn (b7a), và giới tính nhà quản trị cấp cao (b7).</w:t>
      </w:r>
    </w:p>
    <w:p>
      <w:pPr>
        <w:pStyle w:val="BodyText"/>
      </w:pPr>
      <w:r>
        <w:t xml:space="preserve">Ba thành phần của khối kiểm soát quản trị nội sinh, giữ ký hiệu H4a-H4c để tương thích với các bản thảo đồng hành (phân tích Việt Nam, Singapore và Trung Quốc):</w:t>
      </w:r>
    </w:p>
    <w:p>
      <w:pPr>
        <w:pStyle w:val="BodyText"/>
      </w:pPr>
      <w:r>
        <w:rPr>
          <w:bCs/>
          <w:b/>
        </w:rPr>
        <w:t xml:space="preserve">H4a (kiểm soát)</w:t>
      </w:r>
      <w:r>
        <w:t xml:space="preserve">: Kinh nghiệm quản lý (exp_manager, b5) được kiểm soát với kỳ vọng δ_exp &gt; 0. Nhà quản trị nhiều kinh nghiệm có khả năng nhận diện cơ hội thị trường và tránh bẫy tăng trưởng quá mức; khi không kiểm soát, kinh nghiệm có thể tạo tương quan giả giữa FSTS và năng suất.</w:t>
      </w:r>
    </w:p>
    <w:p>
      <w:pPr>
        <w:pStyle w:val="BodyText"/>
      </w:pPr>
      <w:r>
        <w:rPr>
          <w:bCs/>
          <w:b/>
        </w:rPr>
        <w:t xml:space="preserve">H4b (kiểm soát)</w:t>
      </w:r>
      <w:r>
        <w:t xml:space="preserve">: Học vấn nhà quản trị (educ_manager, b7a), đại diện cho năng lực nhận thức và khả năng tiếp thu kinh nghiệm quốc tế, được kiểm soát với kỳ vọng δ_educ &gt; 0. Nhà quản trị học vấn cao có khung nhận thức rộng hơn để xử lý sự phức tạp thông tin trong quản lý đa thị trường.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 (kiểm soát)</w:t>
      </w:r>
      <w:r>
        <w:t xml:space="preserve">: Giới tính nữ của nhà quản trị cấp cao (gender_manager = 1) được đưa vào như kiểm soát đa dạng giới, không đặt dấu kỳ vọng tiên nghiệm; báo cáo two-sided. Bằng chứng trong các nghiên cứu Upper Echelons không đồng nhất về chiều hướng cho châu Á (Hambrick, 2007).</w:t>
      </w:r>
    </w:p>
    <w:p>
      <w:pPr>
        <w:pStyle w:val="BodyText"/>
      </w:pPr>
      <w:r>
        <w:t xml:space="preserve">Phạm vi: H4a-H4c là biến đại diện (proxy) cho cơ chế Upper Echelons và được vận hành như tập kiểm soát quản trị nội sinh, không phải kiểm định trực tiếp cấu trúc lý thuyết gốc. Các hệ số liên quan được báo cáo nhưng không phải đối tượng diễn giải trọng tâm; hạn chế này được thừa nhận rõ trong phần thảo luận kết quả.</w:t>
      </w:r>
    </w:p>
    <w:bookmarkEnd w:id="59"/>
    <w:bookmarkStart w:id="60" w:name="Xda529543b3724f11a3ec16e0ec40bd3627bd65b"/>
    <w:p>
      <w:pPr>
        <w:pStyle w:val="Heading5"/>
      </w:pPr>
      <w:r>
        <w:t xml:space="preserve">H5, Thể chế ICRV điều tiết theo dải biến thiên</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độ cong và điểm uốn theo nhóm ICRV (điểm uốn theo nhóm không đồng nhất, cụm quanh ~40% và không dịch chuyển đơn điệu; điều dịch chuyển có hệ thống là độ cong / biên độ):</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Độ cong dự kiến / neo đậu điểm uốn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Độ cong nông nhất, đường cong phẳng/gần tuyến tính (toàn mẫu đa quốc gia)</w:t>
            </w:r>
          </w:p>
        </w:tc>
        <w:tc>
          <w:tcPr/>
          <w:p>
            <w:pPr>
              <w:pStyle w:val="Compact"/>
              <w:jc w:val="left"/>
            </w:pPr>
            <w:r>
              <w:t xml:space="preserve">phân tích đa quốc gia tổng hợp (N=82.302): độ cong nông nhất, gần tuyến tính ở nhóm tiên tiến (điểm uốn cụm quanh ~40%); phân tích Singapore TP ~82%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Độ cong trung bình; neo đơn quốc gia ~45-55% FSTS</w:t>
            </w:r>
          </w:p>
        </w:tc>
        <w:tc>
          <w:tcPr/>
          <w:p>
            <w:pPr>
              <w:pStyle w:val="Compact"/>
              <w:jc w:val="left"/>
            </w:pPr>
            <w:r>
              <w:t xml:space="preserve">phân tích Trung Quốc TP 47-49%</w:t>
            </w:r>
          </w:p>
        </w:tc>
      </w:tr>
      <w:tr>
        <w:tc>
          <w:tcPr/>
          <w:p>
            <w:pPr>
              <w:pStyle w:val="Compact"/>
              <w:jc w:val="left"/>
            </w:pPr>
            <w:r>
              <w:t xml:space="preserve">Nhóm IV (đang nổi)</w:t>
            </w:r>
          </w:p>
        </w:tc>
        <w:tc>
          <w:tcPr/>
          <w:p>
            <w:pPr>
              <w:pStyle w:val="Compact"/>
              <w:jc w:val="left"/>
            </w:pPr>
            <w:r>
              <w:t xml:space="preserve">Độ cong trung bình-mạnh; neo đơn quốc gia ~35-46% FSTS</w:t>
            </w:r>
          </w:p>
        </w:tc>
        <w:tc>
          <w:tcPr/>
          <w:p>
            <w:pPr>
              <w:pStyle w:val="Compact"/>
              <w:jc w:val="left"/>
            </w:pPr>
            <w:r>
              <w:t xml:space="preserve">phân tích Việt Nam TP 39-46%</w:t>
            </w:r>
          </w:p>
        </w:tc>
      </w:tr>
      <w:tr>
        <w:tc>
          <w:tcPr/>
          <w:p>
            <w:pPr>
              <w:pStyle w:val="Compact"/>
              <w:jc w:val="left"/>
            </w:pPr>
            <w:r>
              <w:t xml:space="preserve">Nhóm V (cận biên)</w:t>
            </w:r>
          </w:p>
        </w:tc>
        <w:tc>
          <w:tcPr/>
          <w:p>
            <w:pPr>
              <w:pStyle w:val="Compact"/>
              <w:jc w:val="left"/>
            </w:pPr>
            <w:r>
              <w:t xml:space="preserve">Độ cong sâu nhất, hình phạt sau đỉnh gay gắt</w:t>
            </w:r>
          </w:p>
        </w:tc>
        <w:tc>
          <w:tcPr/>
          <w:p>
            <w:pPr>
              <w:pStyle w:val="Compact"/>
              <w:jc w:val="left"/>
            </w:pPr>
            <w:r>
              <w:t xml:space="preserve">Khoảng trống thể chế làm khuếch đại chi phí giao dịch sau đỉnh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dải biến thiên: cùng một mức FSTS, doanh nghiệp ở Nhóm I đạt hiệu quả cao nhất; chênh lệch giữa các chế độ giảm dần qua Nhóm II đến V; Nhóm VI có hình thái gánh nặng bắt buộc.</w:t>
      </w:r>
      <w:r>
        <w:t xml:space="preserve"> </w:t>
      </w:r>
      <w:r>
        <w:rPr>
          <w:bCs/>
          <w:b/>
        </w:rPr>
        <w:t xml:space="preserve">Độ cong (concavity / biên độ)</w:t>
      </w:r>
      <w:r>
        <w:t xml:space="preserve"> </w:t>
      </w:r>
      <w:r>
        <w:t xml:space="preserve">của hình chữ U ngược sâu dần theo dải biến thiên khi chất lượng thể chế suy giảm, từ gần tuyến tính ở Nhóm I đến cong sâu ở Nhóm V; điểm uốn theo nhóm không đồng nhất (cụm quanh ~40%) và không dịch chuyển đơn điệu. Thể chế càng yếu, hình phạt sau đỉnh cho quốc tế hóa quá mức càng gay gắt, phản ánh chi phí giao dịch cao và năng lực điều phối hạn chế trong bối cảnh thể chế yếu.</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phân tích Việt Nam: Paternoster z = 3,353 giữa 2009 và 2015 (p &lt; 0,001), quan hệ I-P dịch chuyển đáng kể. phân tích Trung Quốc: TCI Paternoster p = 0,011, hiệu ứng TCI tăng cường 2012 đến 2024. phân tích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phân tích Việt Nam, Singapore và Trung Quốc</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phân tích Việt Nam TP 39-46%; phân tích Trung Quốc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phân tích Việt Nam IV nhân quả; phân tích Trung Quốc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phân tích Việt Nam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phân tích Singapore +3,119; bão hòa số</w:t>
            </w:r>
          </w:p>
        </w:tc>
      </w:tr>
      <w:tr>
        <w:tc>
          <w:tcPr/>
          <w:p>
            <w:pPr>
              <w:pStyle w:val="Compact"/>
              <w:jc w:val="left"/>
            </w:pPr>
            <w:r>
              <w:t xml:space="preserve">H4a (kiểm soát)</w:t>
            </w:r>
          </w:p>
        </w:tc>
        <w:tc>
          <w:tcPr/>
          <w:p>
            <w:pPr>
              <w:pStyle w:val="Compact"/>
              <w:jc w:val="left"/>
            </w:pPr>
            <w:r>
              <w:t xml:space="preserve">Kinh nghiệm QL (kiểm soát nội sinh)</w:t>
            </w:r>
          </w:p>
        </w:tc>
        <w:tc>
          <w:tcPr/>
          <w:p>
            <w:pPr>
              <w:pStyle w:val="Compact"/>
              <w:jc w:val="left"/>
            </w:pPr>
            <w:r>
              <w:t xml:space="preserve">Upper Echelons</w:t>
            </w:r>
          </w:p>
        </w:tc>
        <w:tc>
          <w:tcPr/>
          <w:p>
            <w:pPr>
              <w:pStyle w:val="Compact"/>
              <w:jc w:val="left"/>
            </w:pPr>
            <w:r>
              <w:t xml:space="preserve">exp_manager (kiểm soát)</w:t>
            </w:r>
          </w:p>
        </w:tc>
        <w:tc>
          <w:tcPr/>
          <w:p>
            <w:pPr>
              <w:pStyle w:val="Compact"/>
              <w:jc w:val="left"/>
            </w:pPr>
            <w:r>
              <w:t xml:space="preserve">δ_exp &gt; 0; không phải trục điều tiết</w:t>
            </w:r>
          </w:p>
        </w:tc>
        <w:tc>
          <w:tcPr/>
          <w:p>
            <w:pPr>
              <w:pStyle w:val="Compact"/>
              <w:jc w:val="left"/>
            </w:pPr>
            <w:r>
              <w:t xml:space="preserve">(WBES b5)</w:t>
            </w:r>
          </w:p>
        </w:tc>
      </w:tr>
      <w:tr>
        <w:tc>
          <w:tcPr/>
          <w:p>
            <w:pPr>
              <w:pStyle w:val="Compact"/>
              <w:jc w:val="left"/>
            </w:pPr>
            <w:r>
              <w:t xml:space="preserve">H4b (kiểm soát)</w:t>
            </w:r>
          </w:p>
        </w:tc>
        <w:tc>
          <w:tcPr/>
          <w:p>
            <w:pPr>
              <w:pStyle w:val="Compact"/>
              <w:jc w:val="left"/>
            </w:pPr>
            <w:r>
              <w:t xml:space="preserve">Học vấn QL (kiểm soát nội sinh)</w:t>
            </w:r>
          </w:p>
        </w:tc>
        <w:tc>
          <w:tcPr/>
          <w:p>
            <w:pPr>
              <w:pStyle w:val="Compact"/>
              <w:jc w:val="left"/>
            </w:pPr>
            <w:r>
              <w:t xml:space="preserve">Upper Echelons</w:t>
            </w:r>
          </w:p>
        </w:tc>
        <w:tc>
          <w:tcPr/>
          <w:p>
            <w:pPr>
              <w:pStyle w:val="Compact"/>
              <w:jc w:val="left"/>
            </w:pPr>
            <w:r>
              <w:t xml:space="preserve">educ_manager (kiểm soát)</w:t>
            </w:r>
          </w:p>
        </w:tc>
        <w:tc>
          <w:tcPr/>
          <w:p>
            <w:pPr>
              <w:pStyle w:val="Compact"/>
              <w:jc w:val="left"/>
            </w:pPr>
            <w:r>
              <w:t xml:space="preserve">δ_educ &gt; 0; không phải trục điều tiết</w:t>
            </w:r>
          </w:p>
        </w:tc>
        <w:tc>
          <w:tcPr/>
          <w:p>
            <w:pPr>
              <w:pStyle w:val="Compact"/>
              <w:jc w:val="left"/>
            </w:pPr>
            <w:r>
              <w:t xml:space="preserve">(WBES b7a)</w:t>
            </w:r>
          </w:p>
        </w:tc>
      </w:tr>
      <w:tr>
        <w:tc>
          <w:tcPr/>
          <w:p>
            <w:pPr>
              <w:pStyle w:val="Compact"/>
              <w:jc w:val="left"/>
            </w:pPr>
            <w:r>
              <w:t xml:space="preserve">H4c (kiểm soát)</w:t>
            </w:r>
          </w:p>
        </w:tc>
        <w:tc>
          <w:tcPr/>
          <w:p>
            <w:pPr>
              <w:pStyle w:val="Compact"/>
              <w:jc w:val="left"/>
            </w:pPr>
            <w:r>
              <w:t xml:space="preserve">Giới tính QL (kiểm soát đa dạng giới)</w:t>
            </w:r>
          </w:p>
        </w:tc>
        <w:tc>
          <w:tcPr/>
          <w:p>
            <w:pPr>
              <w:pStyle w:val="Compact"/>
              <w:jc w:val="left"/>
            </w:pPr>
            <w:r>
              <w:t xml:space="preserve">Upper Echelons</w:t>
            </w:r>
          </w:p>
        </w:tc>
        <w:tc>
          <w:tcPr/>
          <w:p>
            <w:pPr>
              <w:pStyle w:val="Compact"/>
              <w:jc w:val="left"/>
            </w:pPr>
            <w:r>
              <w:t xml:space="preserve">gender_manager (kiểm soát)</w:t>
            </w:r>
          </w:p>
        </w:tc>
        <w:tc>
          <w:tcPr/>
          <w:p>
            <w:pPr>
              <w:pStyle w:val="Compact"/>
              <w:jc w:val="left"/>
            </w:pPr>
            <w:r>
              <w:t xml:space="preserve">two-sided; không phải trục điều tiết</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Dải biến thiên ICRV (độ cong)</w:t>
            </w:r>
          </w:p>
        </w:tc>
        <w:tc>
          <w:tcPr/>
          <w:p>
            <w:pPr>
              <w:pStyle w:val="Compact"/>
              <w:jc w:val="left"/>
            </w:pPr>
            <w:r>
              <w:t xml:space="preserve">Institutional Theory</w:t>
            </w:r>
          </w:p>
        </w:tc>
        <w:tc>
          <w:tcPr/>
          <w:p>
            <w:pPr>
              <w:pStyle w:val="Compact"/>
              <w:jc w:val="left"/>
            </w:pPr>
            <w:r>
              <w:t xml:space="preserve">ICRV_j × FSTS, ICRV_j ×</w:t>
            </w:r>
            <w:r>
              <w:t xml:space="preserve"> </w:t>
            </w:r>
            <m:oMath>
              <m:sSup>
                <m:e>
                  <m:r>
                    <m:rPr>
                      <m:nor/>
                      <m:sty m:val="p"/>
                    </m:rPr>
                    <m:t>FSTS</m:t>
                  </m:r>
                </m:e>
                <m:sup>
                  <m:r>
                    <m:t>2</m:t>
                  </m:r>
                </m:sup>
              </m:sSup>
            </m:oMath>
          </w:p>
        </w:tc>
        <w:tc>
          <w:tcPr/>
          <w:p>
            <w:pPr>
              <w:pStyle w:val="Compact"/>
              <w:jc w:val="left"/>
            </w:pPr>
            <w:r>
              <w:t xml:space="preserve">Độ cong sâu dần theo dải biến thiên thể chế; điểm uốn không đồng nhất, không dịch chuyển đơn điệu; Nhóm VI gánh nặng bắt buộc</w:t>
            </w:r>
          </w:p>
        </w:tc>
        <w:tc>
          <w:tcPr/>
          <w:p>
            <w:pPr>
              <w:pStyle w:val="Compact"/>
              <w:jc w:val="left"/>
            </w:pPr>
            <w:r>
              <w:t xml:space="preserve">Phân tán LP tăng theo chế độ (CĐ1); phân tích đa quốc gia M10</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phân tích Việt Nam Paternoster p &lt; 0,001; phân tích Trung Quốc TCI p = 0,011</w:t>
            </w:r>
          </w:p>
        </w:tc>
      </w:tr>
    </w:tbl>
    <w:p>
      <w:pPr>
        <w:pStyle w:val="BodyText"/>
      </w:pPr>
      <w:r>
        <w:t xml:space="preserve">Hệ giả thuyết tạo thành cấu trúc lập luận nhất quán với bốn trục điều tiết trọng tâm và một khối kiểm soát: H1a/H1b (phi tuyến, biên tham gia vs biên cường độ) là quan hệ trọng tâm; H2 (TCI nâng mặt bằng) và H3a/H3b (DAI phụ thuộc chế độ thể chế, với H3c phân biệt cấu trúc, distinctiveness) phân rã cơ chế năng lực doanh nghiệp với dấu kỳ vọng khác nhau theo ngữ cảnh; H5 (ICRV độ cong) là tầng thể chế bao trùm; H6 (Thời gian) là tầng động. Khác với bốn trục điều tiết trọng tâm (TCI, DAI, ICRV, thời gian), H4a-H4c (đặc điểm nhà quản trị) được đưa vào như khối kiểm soát quản trị nội sinh nhằm khóa chặt thiên lệch nội sinh và tăng tính nhận dạng riêng phần (partial identification) của tương tác Thể chế × Công nghệ.</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vững HC1 (Long &amp; Ervin, 2000) làm chuẩn; hiệu ứng cố định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mức-cơ-sở-tuyến-tính"/>
    <w:p>
      <w:pPr>
        <w:pStyle w:val="Heading5"/>
      </w:pPr>
      <w:r>
        <w:t xml:space="preserve">M0, Mức cơ sở tuyến tính</w:t>
      </w:r>
    </w:p>
    <w:p>
      <w:pPr>
        <w:pStyle w:val="FirstParagraph"/>
      </w:pPr>
    </w:p>
    <w:p>
      <w:pPr>
        <w:pStyle w:val="BodyText"/>
      </w:pPr>
      <w:r>
        <w:t xml:space="preserve">Mục đích: thiết lập mức cơ sở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tác động điều tiết đồng thời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năng lực phụ thuộc bối cảnh.</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phân tích Singapore +3,119);</w:t>
      </w:r>
      <w:r>
        <w:t xml:space="preserve"> </w:t>
      </w:r>
      <m:oMath>
        <m:sSub>
          <m:e>
            <m:r>
              <m:t>β</m:t>
            </m:r>
          </m:e>
          <m:sub>
            <m:r>
              <m:t>3</m:t>
            </m:r>
          </m:sub>
        </m:sSub>
      </m:oMath>
      <w:r>
        <w:t xml:space="preserve">(DAI trực tiếp) tiến tới 0 khi kiểm soát chọn lựa (nhất quán phân tích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44a152ad15e7ef43c8f072ef92ee6e82a8e3ee1"/>
    <w:p>
      <w:pPr>
        <w:pStyle w:val="Heading5"/>
      </w:pPr>
      <w:r>
        <w:t xml:space="preserve">M5, + Khối kiểm soát quản trị nội sinh (ước lượng H4a/H4b/H4c như kiểm soát)</w:t>
      </w:r>
    </w:p>
    <w:p>
      <w:pPr>
        <w:pStyle w:val="FirstParagraph"/>
      </w:pPr>
    </w:p>
    <w:p>
      <w:pPr>
        <w:pStyle w:val="BodyText"/>
      </w:pPr>
      <w:r>
        <w:t xml:space="preserve">Mục đích: ước lượng khối kiểm soát quản trị nội sinh để kiểm tra rằng tương tác Thể chế × Công nghệ trọng tâm (M3, M4, M6, M7) vững trước khi và sau khi đưa đặc điểm nhà quản trị vào. Biến Manager gồm: exp_manager (b5, H4a), educ_manager (b7a, H4b), gender_manager (b7, H4c). Trong đặc tả trọng tâm, các biến này được đưa vào ở dạng số hạng chính (kiểm soát mức); số hạng tương tác FSTS×Manager chỉ được báo cáo như chẩn đoán phụ trợ, không phải bằng chứng điều tiết trọng tâm.</w:t>
      </w:r>
      <w:r>
        <w:t xml:space="preserve"> </w:t>
      </w:r>
      <w:r>
        <w:t xml:space="preserve">Kỳ vọng (mức kiểm soát): δ_exp &gt; 0 [H4a]; δ_educ &gt; 0 [H4b]; gender_manager báo cáo two-sided, không có kỳ vọng tiên nghiệm [H4c]. Việc đặc điểm nhà quản trị vào tập kiểm soát chứ không phải trục điều tiết giúp cô lập hiệu ứng nhân quả của tương tác Thể chế × Công nghệ và tránh</w:t>
      </w:r>
      <w:r>
        <w:t xml:space="preserve"> </w:t>
      </w:r>
      <w:r>
        <w:t xml:space="preserve">“</w:t>
      </w:r>
      <w:r>
        <w:t xml:space="preserve">Kitchen Sink Modeling</w:t>
      </w:r>
      <w:r>
        <w:t xml:space="preserve">”</w:t>
      </w:r>
      <w:r>
        <w:t xml:space="preserve">.</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dải biến thiên ICRV và gánh nặng bắt buộc (Nhóm VI).</w:t>
      </w:r>
      <w:r>
        <w:t xml:space="preserve"> </w:t>
      </w:r>
      <w:r>
        <w:t xml:space="preserve">Nhóm tham chiếu: Nhóm I (tiên tiến đổi mới).</w:t>
      </w:r>
      <w:r>
        <w:t xml:space="preserve"> </w:t>
      </w:r>
      <w:r>
        <w:t xml:space="preserve">Kỳ vọng: độ cong (concavity / biên độ) sâu dần theo j khi chất lượng thể chế suy giảm, tức</w:t>
      </w:r>
      <w:r>
        <w:t xml:space="preserve"> </w:t>
      </w:r>
      <m:oMath>
        <m:d>
          <m:dPr>
            <m:begChr m:val="|"/>
            <m:endChr m:val="|"/>
            <m:sepChr m:val=""/>
            <m:grow/>
          </m:dPr>
          <m:e>
            <m:sSub>
              <m:e>
                <m:r>
                  <m:t>β</m:t>
                </m:r>
              </m:e>
              <m:sub>
                <m:r>
                  <m:t>2</m:t>
                </m:r>
              </m:sub>
            </m:sSub>
          </m:e>
        </m:d>
      </m:oMath>
      <w:r>
        <w:t xml:space="preserve"> </w:t>
      </w:r>
      <w:r>
        <w:t xml:space="preserve">tăng dần (Nhóm II đến VI), trong khi điểm uốn theo nhóm không dịch chuyển đơn điệu; Nhóm VI có β(FSTS×ICRV_VI)</w:t>
      </w:r>
      <w:r>
        <w:t xml:space="preserve"> </w:t>
      </w:r>
      <m:oMath>
        <m:r>
          <m:rPr>
            <m:sty m:val="p"/>
          </m:rPr>
          <m:t>≤</m:t>
        </m:r>
      </m:oMath>
      <w:r>
        <w:t xml:space="preserve"> </w:t>
      </w:r>
      <w:r>
        <w:t xml:space="preserve">0.</w:t>
      </w:r>
      <w:r>
        <w:t xml:space="preserve"> </w:t>
      </w:r>
      <w:r>
        <w:t xml:space="preserve">Lưu ý: hiệu ứng cố định quốc gia (country FE) bị loại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cộng các biến kiểm soát,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p>
      <w:pPr>
        <w:pStyle w:val="BodyText"/>
      </w:pPr>
      <w:r>
        <w:t xml:space="preserve">Ranh giới cấu trúc của tương tác ba chiều và Lá chắn số hai chiều. Bằng chứng tổng hợp từ phân tích đa quốc gia (N = 82.302 ở M2 đến 98.658 ở pool, 45 nền kinh tế) cho thấy hai kết quả cần được diễn giải tách bạch, và đây là một trong những thông điệp sắc nét nhất của khung. Thứ nhất, tương tác ba chiều FSTS×DAI×ICRV cho hệ số gần như bằng không và không có ý nghĩa thống kê (β</w:t>
      </w:r>
      <w:r>
        <w:t xml:space="preserve"> </w:t>
      </w:r>
      <m:oMath>
        <m:r>
          <m:rPr>
            <m:sty m:val="p"/>
          </m:rPr>
          <m:t>≈</m:t>
        </m:r>
      </m:oMath>
      <w:r>
        <w:t xml:space="preserve"> </w:t>
      </w:r>
      <w:r>
        <w:t xml:space="preserve">−0,001). Kết quả này không phải lỗi dữ liệu hay điều cần biện hộ, mà là một ranh giới cấu trúc (structural boundary): một website tĩnh ở Tier-1 không đủ sức tái định hình hình dạng của đường cong I-P trong những thị trường có ma sát thể chế cao. Nói cách khác, đây là bằng chứng về sự lỗi thời của công nghệ số bề mặt, công nghệ Tier-1 đã trở thành tiện ích phổ cập (commodity) và mất khả năng làm đòn bẩy chiến lược cho cấu trúc lợi nhuận theo cường độ xuất khẩu. Thứ hai, và quan trọng hơn về mặt lý thuyết, tương tác hai chiều DAI×ICRV,</w:t>
      </w:r>
      <w:r>
        <w:t xml:space="preserve"> </w:t>
      </w:r>
      <w:r>
        <w:t xml:space="preserve">“</w:t>
      </w:r>
      <w:r>
        <w:t xml:space="preserve">Lá chắn số</w:t>
      </w:r>
      <w:r>
        <w:t xml:space="preserve">”</w:t>
      </w:r>
      <w:r>
        <w:t xml:space="preserve"> </w:t>
      </w:r>
      <w:r>
        <w:t xml:space="preserve">(Digital Shield), lại có ý nghĩa (p = 0,049): năng lực số nền tảng phát huy vai trò bảo vệ năng suất mạnh nhất chính ở những chế độ thể chế yếu, nơi nó bù đắp một phần khoảng trống thể chế (institutional voids) bằng cách hạ chi phí giao dịch và mở rộng tiếp cận thị trường ảo. Như vậy, DAI không định hình lại độ cong của đường cong (vai trò ba chiều null) nhưng vẫn nâng và giữ mặt bằng năng suất trong môi trường thể chế bất lợi (vai trò hai chiều có ý nghĩa). Sự đối lập giữa một null ba chiều mang tính ranh giới và một hiệu ứng hai chiều có ý nghĩa là bằng chứng trực tiếp cho luận điểm CDCM rằng DAI là nguồn lực phụ thuộc bối cảnh, không phải đòn bẩy đồng nhất. Giá trị thực nghiệm cốt lõi của khung CDCM do đó nằm ở tương tác hai chiều DAI×ICRV (cơ chế thay thế số cho thể chế), chứ không ở tương tác ba chiều; đây là sự dịch chuyển trọng tâm bằng chứng từ một kỳ vọng tham vọng ban đầu sang một phát hiện chặt chẽ, khả thi và có ý nghĩa lý thuyết hơn cho Lý thuyết thể chế.</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Mức cơ sở</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(kiểm soát quản trị nội sinh)</w:t>
            </w:r>
          </w:p>
        </w:tc>
        <w:tc>
          <w:tcPr/>
          <w:p>
            <w:pPr>
              <w:pStyle w:val="Compact"/>
              <w:jc w:val="left"/>
            </w:pPr>
            <w:r>
              <w:t xml:space="preserve">H4 (kiểm soát)</w:t>
            </w:r>
          </w:p>
        </w:tc>
        <w:tc>
          <w:tcPr/>
          <w:p>
            <w:pPr>
              <w:pStyle w:val="Compact"/>
              <w:jc w:val="left"/>
            </w:pPr>
            <w:r>
              <w:t xml:space="preserve">δ_exp &gt; 0; δ_educ &gt; 0; gender two-sided; kiểm tra độ vững tương tác trọng tâm, không phải điều tiết trọng tâm</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Dải biến thiên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cặp quốc gia-năm</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(có điều kiện trên các biến quan sát được, conditional on observables), không phải ước lượng thống kê mô tả đại diện tổng thể. Thứ hai, hiệu ứng cố định hai chiều (quốc gia × năm) đã hấp thụ phần lớn biến thiên liên quan đến thiết kế lấy mẫu phân tầng. Thứ ba, tích hợp trọng số mẫu vào mô hình hiệu ứng cố định không đồng nhất gây phức tạp ước lượng mà không đem lại cải thiện tính hợp lệ nội tại (Solon et al., 2015). Phân tích độ nhạy với trọng số được đề xuất như kiểm định tương lai (xem Mục 2.4.3) để xác nhận tính vững của kết quả so với mẫu không có trọng số.</w:t>
      </w:r>
    </w:p>
    <w:p>
      <w:pPr>
        <w:pStyle w:val="BodyText"/>
      </w:pPr>
      <w:r>
        <w:t xml:space="preserve">Giao thức hòa hợp bao gồm: bảng đối chiếu (crosswalk) biến giữa ba schema; xử lý giá trị thiếu; loại bỏ giá trị ngoại lai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giá trị ngoại lai tại phân vị 1/99 để giảm ảnh hưởng của giá trị ngoại lai.</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SIDS Thái Bình Dương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sai số chuẩn vững và hiệu ứng cố định (tất cả mô hình M0-M7): SE HC1 (chuẩn), điều chỉnh không đồng nhất phương sai cấp doanh nghiệp; hiệu ứng cố định hai chiều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phân tích Việt Nam đã cho thấy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bộ làm trơn cục bộ (smoother; bandwidth = 0,4) vẽ ln(LP) ~ FSTS; nếu hình dạng trực quan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vững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năng lực phụ thuộc bối cảnh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dải biến thiên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và một ranh giới cấu trúc có giá trị lý thuyết.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Đáng chú ý, kết quả tổng hợp (phân tích đa quốc gia 45 nền kinh tế) cho thấy tương tác ba chiều FSTS×DAI×ICRV là null (β</w:t>
      </w:r>
      <w:r>
        <w:t xml:space="preserve"> </w:t>
      </w:r>
      <m:oMath>
        <m:r>
          <m:rPr>
            <m:sty m:val="p"/>
          </m:rPr>
          <m:t>≈</m:t>
        </m:r>
      </m:oMath>
      <w:r>
        <w:t xml:space="preserve"> </w:t>
      </w:r>
      <w:r>
        <w:t xml:space="preserve">−0,001), trong khi tương tác hai chiều DAI×ICRV (Lá chắn số) lại có ý nghĩa (p = 0,049). Đây không phải khiếm khuyết của thiết kế mà là một đóng góp định vị ranh giới: số hóa bề mặt Tier-1 không định hình lại độ cong đường cong I-P (bằng chứng về sự lỗi thời của công nghệ số bề mặt), nhưng năng lực số vẫn bảo vệ mặt bằng năng suất ở chế độ thể chế yếu. Khung do đó làm rõ ranh giới hiệu lực của DAI thay vì khuếch đại quá mức vai trò của nó.</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sai số chuẩn vững HC1/HC3, hiệu ứng cố định hai chiều, nhận dạng IV (F bậc một &gt; 16), và kiểm định z Paternoster cho so sánh xuyên nhóm tạo ra chiến lược nhận dạng mạnh nhất có thể với dữ liệu WBES cắt ngang. Đặc biệt, việc tách DAI nhân quả so với phụ thuộc chọn lựa (từ bằng chứng phân tích Việt Nam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phân tích Việt Nam và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châu Á mới nổi:</w:t>
      </w:r>
    </w:p>
    <w:p>
      <w:pPr>
        <w:pStyle w:val="BodyText"/>
      </w:pPr>
      <w:r>
        <w:t xml:space="preserve">Đầu tư vào TCI trước DAI: bằng chứng biến công cụ (phân tích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Dải biến thiên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cơ chế chữ U ngược chuẩn.</w:t>
      </w:r>
    </w:p>
    <w:p>
      <w:r>
        <w:pict>
          <v:rect style="width:0;height:1.5pt" o:hralign="center" o:hrstd="t" o:hr="t"/>
        </w:pict>
      </w:r>
    </w:p>
    <w:bookmarkEnd w:id="83"/>
    <w:bookmarkEnd w:id="84"/>
    <w:bookmarkEnd w:id="85"/>
    <w:bookmarkStart w:id="90"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(phân tích Việt Nam, Singapore và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độ cong (concavity / biên độ) sâu dần khi chất lượng thể chế suy giảm, điểm uốn theo nhóm không đồng nhất (cụm quanh ~40%) và không dịch chuyển đơn điệu; H2 (TCI nâng mặt bằng) TCI dương bền vững và nhân quả; H3a (DAI Emerging/Frontier) khám phá; H3b (DAI Advanced) β(</w:t>
      </w:r>
      <m:oMath>
        <m:sSup>
          <m:e>
            <m:r>
              <m:rPr>
                <m:nor/>
                <m:sty m:val="p"/>
              </m:rPr>
              <m:t>FSTS</m:t>
            </m:r>
          </m:e>
          <m:sup>
            <m:r>
              <m:t>2</m:t>
            </m:r>
          </m:sup>
        </m:sSup>
      </m:oMath>
      <w:r>
        <w:t xml:space="preserve">×DAI) dương trong Nhóm I (phân tích Singapore xác nhận), null/phụ thuộc chọn lựa trong Nhóm IV (phân tích Việt Nam IV null); H4 (kiểm soát quản trị nội sinh) đặc điểm nhà quản trị được ước lượng như nhóm biến kiểm soát quản trị nội sinh, không phải nhân tố điều tiết trọng tâm; H5 (ICRV) độ cong sâu dần theo dải biến thiên thể chế từ Nhóm I đến Nhóm V, Nhóm VI gánh nặng bắt buộc, củng cố bởi Lá chắn số DAI×ICRV (p = 0,049); H6 (Thời gian) DAI dịch chuyển 2009 đến 2023, TCI tăng cường theo thời gian.</w:t>
      </w:r>
    </w:p>
    <w:p>
      <w:pPr>
        <w:pStyle w:val="BodyText"/>
      </w:pPr>
      <w:r>
        <w:t xml:space="preserve">Đóng góp trung tâm, CDCM, giải thích tại sao DAI hoạt động như năng lực phụ thuộc bối cảnh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fec09e3154c2a245e7c18bb44949217926836d0"/>
    <w:p>
      <w:pPr>
        <w:pStyle w:val="Heading4"/>
      </w:pPr>
      <w:r>
        <w:t xml:space="preserve">2.4.2 Hàm ý quản trị: lộ trình chiến lược ba giai đoạn</w:t>
      </w:r>
    </w:p>
    <w:p>
      <w:pPr>
        <w:pStyle w:val="FirstParagraph"/>
      </w:pPr>
      <w:r>
        <w:t xml:space="preserve">Trước khi diễn giải thành lộ trình hành động, cần đặt ngay một rủi ro vĩ mô lên đầu bàn nghị sự. Điểm uốn toàn mẫu châu Á</w:t>
      </w:r>
      <w:r>
        <w:t xml:space="preserve"> </w:t>
      </w:r>
      <m:oMath>
        <m:r>
          <m:rPr>
            <m:sty m:val="p"/>
          </m:rPr>
          <m:t>≈</m:t>
        </m:r>
      </m:oMath>
      <w:r>
        <w:t xml:space="preserve"> </w:t>
      </w:r>
      <w:r>
        <w:t xml:space="preserve">37% không phải một cột mốc trung lập mà là một cái bẫy tiềm tàng: dưới các cú sốc thể chế hoặc đứt gãy chuỗi cung ứng (chiến tranh thương mại, đại dịch, tái cấu hình nguồn cung), vùng quanh ngưỡng ~37% là nơi hình phạt sau đỉnh trở nên gay gắt nhất ở các chế độ thể chế yếu, và là nơi doanh nghiệp dễ mắc kẹt nhất khi đã đổ vốn theo cường độ nhưng chưa kịp xây năng lực lõi. Phản bác lại hoài nghi rằng ngưỡng này quá cứng nhắc: Trung Quốc duy trì một ngưỡng bền bỉ ~48% doanh thu xuất khẩu xuyên suốt cả chiến tranh thương mại lẫn đại dịch (điểm uốn 49,4% năm 2012 và 47,2% năm 2024, Paternoster p = 0,545), cho thấy ngưỡng không phải con số ngẫu nhiên mà là một thuộc tính cấu trúc bền vững của chế độ thể chế, có thể cao và ổn định khi năng lực thể chế và năng lực doanh nghiệp đủ mạnh. Điều này biến điểm uốn thành công cụ hoạch định thực sự, không phải hiện vật thống kê.</w:t>
      </w:r>
    </w:p>
    <w:p>
      <w:pPr>
        <w:pStyle w:val="BodyText"/>
      </w:pPr>
      <w:r>
        <w:t xml:space="preserve">Từ bằng chứng neo đậu, các hệ số được chuyển dịch thành một lộ trình chiến lược ba giai đoạn trên trục doanh thu xuất khẩu, áp dụng trực tiếp cho doanh nghiệp Việt Nam và châu Á mới nổi:</w:t>
      </w:r>
    </w:p>
    <w:p>
      <w:pPr>
        <w:pStyle w:val="BodyText"/>
      </w:pPr>
      <w:r>
        <w:rPr>
          <w:bCs/>
          <w:b/>
        </w:rPr>
        <w:t xml:space="preserve">Giai đoạn 1, Vượt rào cản gia nhập (từ 0 đến FSTS dương, hấp thụ chi phí cố định).</w:t>
      </w:r>
      <w:r>
        <w:t xml:space="preserve"> </w:t>
      </w:r>
      <w:r>
        <w:t xml:space="preserve">Hành động chiến lược trọng tâm là vượt qua</w:t>
      </w:r>
      <w:r>
        <w:t xml:space="preserve"> </w:t>
      </w:r>
      <w:r>
        <w:t xml:space="preserve">“</w:t>
      </w:r>
      <w:r>
        <w:t xml:space="preserve">Vách gia nhập</w:t>
      </w:r>
      <w:r>
        <w:t xml:space="preserve">”</w:t>
      </w:r>
      <w:r>
        <w:t xml:space="preserve"> </w:t>
      </w:r>
      <w:r>
        <w:t xml:space="preserve">(H1a): chuyển từ không xuất khẩu sang có xuất khẩu mới là bậc nhảy năng suất lớn nhất, không phải việc tăng dần tỉ lệ. Doanh nghiệp nên dồn nguồn lực để hấp thụ trọn gói chi phí cố định một lần (đạt chứng nhận tiêu chuẩn quốc tế, thiết lập kênh phân phối, năng lực ngoại thương cơ bản) thay vì rải vốn theo cường độ. Tại giai đoạn này, một website Tier-1 và hạ tầng số cơ bản là điều kiện cần để hiện diện, nhưng không phải đòn bẩy lợi nhuận.</w:t>
      </w:r>
    </w:p>
    <w:p>
      <w:pPr>
        <w:pStyle w:val="BodyText"/>
      </w:pPr>
      <w:r>
        <w:rPr>
          <w:bCs/>
          <w:b/>
        </w:rPr>
        <w:t xml:space="preserve">Giai đoạn 2, Tích lũy năng lực công nghệ lõi (vùng ~30-46% doanh thu xuất khẩu).</w:t>
      </w:r>
      <w:r>
        <w:t xml:space="preserve"> </w:t>
      </w:r>
      <w:r>
        <w:t xml:space="preserve">Đây là vùng nguy hiểm bao quanh điểm uốn ~37% (và ~39-46% với Việt Nam). Khi doanh nghiệp đạt khoảng 40% doanh thu xuất khẩu, độ phức tạp vận hành đa thị trường dựng lên một bức tường vô hình: đổ thêm vốn vào website hoặc cường độ xuất khẩu thuần túy lúc này cho biên lợi nhuận âm. Chỉ năng lực công nghệ lõi thực chất (R&amp;D, ISO, công nghệ nước ngoài có bản quyền, chính là TCI nhân quả với β_IV = 1,639 ở phân tích Việt Nam) hoặc sự bảo chứng quốc tế mới phá được bức tường đó và nâng mặt bằng năng suất một cách bền vững. Thông điệp ưu tiên rõ ràng: đầu tư TCI trước, DAI sau, vì chỉ TCI là nhân quả còn DAI dương trong OLS phản ánh phụ thuộc chọn lựa (phân tích Việt Nam IV null, β = 0,018).</w:t>
      </w:r>
    </w:p>
    <w:p>
      <w:pPr>
        <w:pStyle w:val="BodyText"/>
      </w:pPr>
      <w:r>
        <w:rPr>
          <w:bCs/>
          <w:b/>
        </w:rPr>
        <w:t xml:space="preserve">Giai đoạn 3, Tích hợp số hóa chiều sâu (sau khi đã có năng lực lõi và cường độ cao).</w:t>
      </w:r>
      <w:r>
        <w:t xml:space="preserve"> </w:t>
      </w:r>
      <w:r>
        <w:t xml:space="preserve">Số hóa chỉ trở thành đòn bẩy mở rộng khi doanh nghiệp đã ở mức FSTS cao và hoạt động trong môi trường thể chế phù hợp, đúng như Singapore với DAI×</w:t>
      </w:r>
      <m:oMath>
        <m:sSup>
          <m:e>
            <m:r>
              <m:rPr>
                <m:nor/>
                <m:sty m:val="p"/>
              </m:rPr>
              <m:t>FSTS</m:t>
            </m:r>
          </m:e>
          <m:sup>
            <m:r>
              <m:t>2</m:t>
            </m:r>
          </m:sup>
        </m:sSup>
      </m:oMath>
      <w:r>
        <w:t xml:space="preserve"> </w:t>
      </w:r>
      <w:r>
        <w:t xml:space="preserve">= +3,119 ở vùng FSTS cao tiệm cận ~82%. Lưu ý chiến lược quan trọng từ ranh giới cấu trúc: số hóa bề mặt Tier-1 (website tĩnh) đã lỗi thời như đòn bẩy chiến lược (tương tác ba chiều FSTS×DAI×ICRV β</w:t>
      </w:r>
      <w:r>
        <w:t xml:space="preserve"> </w:t>
      </w:r>
      <m:oMath>
        <m:r>
          <m:rPr>
            <m:sty m:val="p"/>
          </m:rPr>
          <m:t>≈</m:t>
        </m:r>
      </m:oMath>
      <w:r>
        <w:t xml:space="preserve"> </w:t>
      </w:r>
      <w:r>
        <w:t xml:space="preserve">−0,001, không có ý nghĩa); giá trị nằm ở tích hợp số chiều sâu, không phải ở sự hiện diện số tối thiểu. Ở những chế độ thể chế yếu, vai trò hữu ích nhất của năng lực số là</w:t>
      </w:r>
      <w:r>
        <w:t xml:space="preserve"> </w:t>
      </w:r>
      <w:r>
        <w:t xml:space="preserve">“</w:t>
      </w:r>
      <w:r>
        <w:t xml:space="preserve">Lá chắn số</w:t>
      </w:r>
      <w:r>
        <w:t xml:space="preserve">”</w:t>
      </w:r>
      <w:r>
        <w:t xml:space="preserve"> </w:t>
      </w:r>
      <w:r>
        <w:t xml:space="preserve">(Digital Shield, DAI×ICRV p = 0,049): bù đắp khoảng trống thể chế để giữ mặt bằng năng suất, chứ không phải để tái định hình đường cong lợi nhuận.</w:t>
      </w:r>
    </w:p>
    <w:bookmarkEnd w:id="87"/>
    <w:bookmarkStart w:id="88" w:name="hạn-chế-nghiên-cứu"/>
    <w:p>
      <w:pPr>
        <w:pStyle w:val="Heading4"/>
      </w:pPr>
      <w:r>
        <w:t xml:space="preserve">2.4.3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phân tích Việt Nam với F bậc một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8"/>
    <w:bookmarkStart w:id="89" w:name="hướng-nghiên-cứu-tiếp-theo"/>
    <w:p>
      <w:pPr>
        <w:pStyle w:val="Heading4"/>
      </w:pPr>
      <w:r>
        <w:t xml:space="preserve">2.4.4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phân tích tổng hợp: Tổng quan định lượng ba tầng:</w:t>
      </w:r>
      <w:r>
        <w:t xml:space="preserve"> </w:t>
      </w:r>
      <w:r>
        <w:t xml:space="preserve">Bản thảo phân tích tổng hợp đã hoàn thành, mở rộng mức cơ sở (baseline) ICBEF 2025 (Đỗ &amp; Phan, 2024, k=113) lên</w:t>
      </w:r>
      <w:r>
        <w:t xml:space="preserve"> </w:t>
      </w:r>
      <w:r>
        <w:rPr>
          <w:bCs/>
          <w:b/>
        </w:rPr>
        <w:t xml:space="preserve">k=238</w:t>
      </w:r>
      <w:r>
        <w:t xml:space="preserve"> </w:t>
      </w:r>
      <w:r>
        <w:t xml:space="preserve">(K=288 mức độ ảnh hưởng, 45 nền kinh tế) với hệ thống tìm kiếm PRISMA 2020 trên Web of Science + Scopus (1977-2026). Ba biến điều tiết mới: (i) cDAI, mức độ số hóa cấp quốc gia; (ii) ICRV 6 nhóm; (iii) DPL phase. Kết quả MARA xác nhận: hiệu ứng tổng hợp</w:t>
      </w:r>
      <w:r>
        <w:t xml:space="preserve"> </w:t>
      </w:r>
      <w:r>
        <w:rPr>
          <w:iCs/>
          <w:i/>
        </w:rPr>
        <w:t xml:space="preserve">r</w:t>
      </w:r>
      <w:r>
        <w:t xml:space="preserve">=0,074 (CI [0,060; 0,088]),</w:t>
      </w:r>
      <w:r>
        <w:t xml:space="preserve"> </w:t>
      </w:r>
      <m:oMath>
        <m:sSup>
          <m:e>
            <m:r>
              <m:t>I</m:t>
            </m:r>
          </m:e>
          <m:sup>
            <m:r>
              <m:t>2</m:t>
            </m:r>
          </m:sup>
        </m:sSup>
      </m:oMath>
      <w:r>
        <w:t xml:space="preserve">=87,8%; ICRV Q_M=17,35 (p = 0,002), H1 điều tiết thể chế được hỗ trợ; cDAI và DPL không có ý nghĩa (H2, H3 không được hỗ trợ). Phát hiện chính: thiên lệch xuất bản (publication bias) xác nhận qua hai kiểm định model-based độc lập (Begg-Mazumdar τ = −0,134, p &lt; 0,001; mô hình lựa chọn ba tham số Vevea-Hedges LRT χ² = 12,29, p = 0,002). Sáu kiểm định bao quát hiệu ứng hiệu chỉnh trong khoảng</w:t>
      </w:r>
      <w:r>
        <w:t xml:space="preserve"> </w:t>
      </w:r>
      <w:r>
        <w:rPr>
          <w:iCs/>
          <w:i/>
        </w:rPr>
        <w:t xml:space="preserve">r</w:t>
      </w:r>
      <w:r>
        <w:t xml:space="preserve"> </w:t>
      </w:r>
      <w:r>
        <w:t xml:space="preserve">∈ [0,035; 0,077]: trim-and-fill cho</w:t>
      </w:r>
      <w:r>
        <w:t xml:space="preserve"> </w:t>
      </w:r>
      <w:r>
        <w:rPr>
          <w:iCs/>
          <w:i/>
        </w:rPr>
        <w:t xml:space="preserve">r</w:t>
      </w:r>
      <w:r>
        <w:t xml:space="preserve">_adj = 0,035 (mạnh nhất, có thể over-correct dưới I² = 87,8%), PET-PEESE cho</w:t>
      </w:r>
      <w:r>
        <w:t xml:space="preserve"> </w:t>
      </w:r>
      <w:r>
        <w:rPr>
          <w:iCs/>
          <w:i/>
        </w:rPr>
        <w:t xml:space="preserve">r</w:t>
      </w:r>
      <w:r>
        <w:t xml:space="preserve">_adj = 0,061, Vevea-Hedges cho</w:t>
      </w:r>
      <w:r>
        <w:t xml:space="preserve"> </w:t>
      </w:r>
      <w:r>
        <w:rPr>
          <w:iCs/>
          <w:i/>
        </w:rPr>
        <w:t xml:space="preserve">r</w:t>
      </w:r>
      <w:r>
        <w:t xml:space="preserve">_adj = 0,077 (bảo thủ nhất). Hàm ý: hiệu ứng tổng hợp được báo cáo có thể thấp hơn ước lượng thô,</w:t>
      </w:r>
      <w:r>
        <w:t xml:space="preserve"> </w:t>
      </w:r>
      <w:r>
        <w:rPr>
          <w:iCs/>
          <w:i/>
        </w:rPr>
        <w:t xml:space="preserve">mức</w:t>
      </w:r>
      <w:r>
        <w:t xml:space="preserve"> </w:t>
      </w:r>
      <w:r>
        <w:t xml:space="preserve">thổi phồng tùy giả định selection-process. Đóng góp của phân tích tổng hợp trong khuôn khổ CD2: xác nhận dải biến thiên ICRV tổng thể (Q_M có ý nghĩa) nhưng không đủ k ở mỗi nhóm để xác nhận đường dải biến thiên đơn điệu E1a/E1b.</w:t>
      </w:r>
    </w:p>
    <w:p>
      <w:pPr>
        <w:pStyle w:val="BodyText"/>
      </w:pPr>
      <w:r>
        <w:rPr>
          <w:bCs/>
          <w:b/>
        </w:rPr>
        <w:t xml:space="preserve">Hướng 2, phân tích đa quốc gia: Kiểm định H1-H6 toàn pool 45 nền kinh tế:</w:t>
      </w:r>
      <w:r>
        <w:t xml:space="preserve"> </w:t>
      </w:r>
      <w:r>
        <w:t xml:space="preserve">phân tích đa quốc gia đã hoàn thành, N = 82.302 (M2) đến 98.658 (pool) doanh nghiệp, 45 nền kinh tế châu Á và Thái Bình Dương, 98 cặp quốc gia-năm khảo sát, 6 nhóm ICRV. Kết quả xác nhận: H1 (phi tuyến) điểm uốn toàn mẫu</w:t>
      </w:r>
      <w:r>
        <w:t xml:space="preserve"> </w:t>
      </w:r>
      <m:oMath>
        <m:r>
          <m:rPr>
            <m:sty m:val="p"/>
          </m:rPr>
          <m:t>≈</m:t>
        </m:r>
      </m:oMath>
      <w:r>
        <w:t xml:space="preserve"> </w:t>
      </w:r>
      <w:r>
        <w:t xml:space="preserve">37%; H2 TCI có hiệu ứng cấp độ β</w:t>
      </w:r>
      <w:r>
        <w:t xml:space="preserve"> </w:t>
      </w:r>
      <m:oMath>
        <m:r>
          <m:rPr>
            <m:sty m:val="p"/>
          </m:rPr>
          <m:t>≈</m:t>
        </m:r>
      </m:oMath>
      <w:r>
        <w:t xml:space="preserve"> </w:t>
      </w:r>
      <w:r>
        <w:t xml:space="preserve">+0,344 (p &lt; 0,05); H3 DAI có hiệu ứng cấp độ phổ quát β = +0,155 (p &lt; 0,001) cùng cả hai số hạng tương tác độ cong; H5 ICRV điều tiết theo dạng độ cong (concavity / biên độ): hình chữ U ngược cong sâu hơn ở SIDS/Frontier và phẳng dần về gần tuyến tính ở nhóm tiên tiến đổi mới (Advanced Innovation), điểm uốn theo nhóm không đồng nhất và không dịch chuyển đơn điệu (tương tác M10 có ý nghĩa: FSTS×ICRV β = +1,85,</w:t>
      </w:r>
      <w:r>
        <w:t xml:space="preserve"> </w:t>
      </w:r>
      <m:oMath>
        <m:sSup>
          <m:e>
            <m:r>
              <m:rPr>
                <m:nor/>
                <m:sty m:val="p"/>
              </m:rPr>
              <m:t>FSTS</m:t>
            </m:r>
          </m:e>
          <m:sup>
            <m:r>
              <m:t>2</m:t>
            </m:r>
          </m:sup>
        </m:sSup>
      </m:oMath>
      <w:r>
        <w:t xml:space="preserve">×ICRV β = −2,93). Lá chắn số (Digital Shield) hai chiều DAI×ICRV có ý nghĩa (p = 0,049), mạnh nhất khi thể chế yếu; tương tác ba chiều FSTS×DAI×ICRV (β</w:t>
      </w:r>
      <w:r>
        <w:t xml:space="preserve"> </w:t>
      </w:r>
      <m:oMath>
        <m:r>
          <m:rPr>
            <m:sty m:val="p"/>
          </m:rPr>
          <m:t>≈</m:t>
        </m:r>
      </m:oMath>
      <w:r>
        <w:t xml:space="preserve"> </w:t>
      </w:r>
      <w:r>
        <w:t xml:space="preserve">−0,001, không có ý nghĩa) cho thấy một ranh giới cấu trúc: số hóa bề mặt Tier-1 không định hình lại được hình dạng đường cong I-P. phân tích Việt Nam (Nhóm IV), phân tích Singapore (Nhóm I), phân tích Trung Quốc (Nhóm III) cung cấp neo đậu xuyên bối cảnh (cross-context) đã được xác nhận bởi kết quả tổng hợp 45 nền kinh tế.</w:t>
      </w:r>
    </w:p>
    <w:p>
      <w:pPr>
        <w:pStyle w:val="BodyText"/>
      </w:pPr>
      <w:r>
        <w:rPr>
          <w:bCs/>
          <w:b/>
        </w:rPr>
        <w:t xml:space="preserve">Hướng 3, phân tích SIDS Thái Bình Dương: SIDS Thái Bình Dương, gánh nặng bắt buộc:</w:t>
      </w:r>
      <w:r>
        <w:t xml:space="preserve"> </w:t>
      </w:r>
      <w:r>
        <w:t xml:space="preserve">phân tích SIDS Thái Bình Dương đã hoàn thành, N=1.469 doanh nghiệp, 9 nước SIDS (Nhóm VI ICRV: Fiji, Kiribati, PNG, Samoa, Solomon Islands, Tonga, Vanuatu + Comoros + Timor-Leste), β(FSTS_c)=−0,404* xác nhận Forced Internationalization Penalty: quan hệ âm đơn điệu không có điểm uốn (turning point), nhất quán với giả thuyết gánh nặng bắt buộc (Briguglio, 1995; Bertram, 2006). Khoảng trống H1b trong CD2 đã được lấp đầy bởi phân tích SIDS Thái Bình Dương. Quan trọng hơn, kết quả này không nên đọc như một trường hợp biên thứ yếu: đặt cạnh cực tiên tiến đổi mới (Advanced Innovation) (Singapore, điểm uốn xuất hiện muộn, khoảng 82%, xuất khẩu để tối ưu hóa biên lợi nhuận), SIDS Nhóm VI là cực đối lập, quốc tế hóa để sinh tồn, nơi đường cong chữ U ngược sụp đổ hoàn toàn thành quan hệ âm đơn điệu. Hai cực này xác lập một trục lý thuyết, từ quốc tế hóa để mở rộng quy mô đến quốc tế hóa để sinh tồn, mà toàn bộ dải ICRV nằm trên đó; FIP do đó là điều kiện biên xác định ranh giới nơi điều tiết về mức độ (degree) nhường chỗ cho đảo dấu về bản chất (sign), và là một đóng góp lý thuyết trung tâm chứ không phải một phụ lục cuối luận án.</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9"/>
    <w:bookmarkEnd w:id="90"/>
    <w:bookmarkEnd w:id="91"/>
    <w:bookmarkStart w:id="92"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2"/>
    <w:bookmarkStart w:id="97" w:name="phụ-lục"/>
    <w:p>
      <w:pPr>
        <w:pStyle w:val="Heading2"/>
      </w:pPr>
      <w:r>
        <w:t xml:space="preserve">PHỤ LỤC</w:t>
      </w:r>
    </w:p>
    <w:bookmarkStart w:id="93"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SIDS Thái Bình Dương dùng bộ lọc WBES SIDS_small gồm 9 nước, bổ sung thêm Comoros và Timor-Leste.)</w:t>
      </w:r>
    </w:p>
    <w:p>
      <w:pPr>
        <w:pStyle w:val="BodyText"/>
      </w:pPr>
      <w:r>
        <w:t xml:space="preserve">Tổng: 5 + 5 + 6 + 7 + 17 + 7 = 47 nền kinh tế.</w:t>
      </w:r>
    </w:p>
    <w:bookmarkEnd w:id="93"/>
    <w:bookmarkStart w:id="94" w:name="Xbad1bc84f3d3d9be9a613f7519fe2cb13fab848"/>
    <w:p>
      <w:pPr>
        <w:pStyle w:val="Heading3"/>
      </w:pPr>
      <w:r>
        <w:t xml:space="preserve">Phụ lục B, Tóm tắt ba phân tích quốc gia thành phần</w:t>
      </w:r>
    </w:p>
    <w:p>
      <w:pPr>
        <w:pStyle w:val="FirstParagraph"/>
      </w:pPr>
      <w:r>
        <w:t xml:space="preserve">Phân tích Việt Nam: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Phân tích Singapore: 623 doanh nghiệp WBES 2023. Kết quả chính: đường cong I-P chủ yếu dương; điểm uốn hàm ý ~82% (vùng thưa dữ liệu; Lind-Mehlum p = 0,303); DAI×</w:t>
      </w:r>
      <m:oMath>
        <m:sSup>
          <m:e>
            <m:r>
              <m:rPr>
                <m:nor/>
                <m:sty m:val="p"/>
              </m:rPr>
              <m:t>FSTS</m:t>
            </m:r>
          </m:e>
          <m:sup>
            <m:r>
              <m:t>2</m:t>
            </m:r>
          </m:sup>
        </m:sSup>
      </m:oMath>
      <w:r>
        <w:t xml:space="preserve"> </w:t>
      </w:r>
      <w:r>
        <w:t xml:space="preserve">= +3,119 (p = 0,005), DAI là năng lực phụ thuộc bối cảnh; TCI β = 0,153.</w:t>
      </w:r>
    </w:p>
    <w:p>
      <w:pPr>
        <w:pStyle w:val="BodyText"/>
      </w:pPr>
      <w:r>
        <w:t xml:space="preserve">Phân tích Trung Quốc: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4"/>
    <w:bookmarkStart w:id="95"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5"/>
    <w:bookmarkStart w:id="96" w:name="Xa84ffce5c253a184851e54c82ab1310212e4bc3"/>
    <w:p>
      <w:pPr>
        <w:pStyle w:val="Heading3"/>
      </w:pPr>
      <w:r>
        <w:t xml:space="preserve">Phụ lục D, Đặc tả Stata: Sai số chuẩn cluster</w:t>
      </w:r>
    </w:p>
    <w:p>
      <w:pPr>
        <w:pStyle w:val="FirstParagraph"/>
      </w:pPr>
      <w:r>
        <w:t xml:space="preserve">Toàn bộ quy trình phân tích (pipeline) sử dụng Stata 18. Mô hình chuẩn (Mục 6.4) dùng sai số chuẩn vững HC1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2026-06-02T20:35:04Z</dcterms:created>
  <dcterms:modified xsi:type="dcterms:W3CDTF">2026-06-02T20:35:04Z</dcterms:modified>
</cp:coreProperties>
</file>

<file path=docProps/custom.xml><?xml version="1.0" encoding="utf-8"?>
<Properties xmlns="http://schemas.openxmlformats.org/officeDocument/2006/custom-properties" xmlns:vt="http://schemas.openxmlformats.org/officeDocument/2006/docPropsVTypes"/>
</file>