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asking whether export intensity is nonlinearly associated with labour productivity and whether technological capability and foundational digital adoption play distinct roles across survey waves.</w:t>
      </w:r>
    </w:p>
    <w:p>
      <w:pPr>
        <w:pStyle w:val="BodyText"/>
      </w:pPr>
      <w:r>
        <w:rPr>
          <w:bCs/>
          <w:b/>
        </w:rPr>
        <w:t xml:space="preserve">Design/methodology/approach.</w:t>
      </w:r>
      <w:r>
        <w:t xml:space="preserve"> </w:t>
      </w:r>
      <w:r>
        <w:t xml:space="preserve">Using three waves of World Bank Enterprise Survey data for Vietnam (2009, 2015, 2023; pooled N = 2,958), we estimate wave-specific and pooled OLS models with HC1 robust standard errors, quadratic export-intensity terms and interactions. A Technological Capability Index (quality certification, foreign-licensed technology) is distinguished from a foundational Digital Adoption Index (website presence), with no shared items.</w:t>
      </w:r>
    </w:p>
    <w:p>
      <w:pPr>
        <w:pStyle w:val="BodyText"/>
      </w:pPr>
      <w:r>
        <w:rPr>
          <w:bCs/>
          <w:b/>
        </w:rPr>
        <w:t xml:space="preserve">Findings.</w:t>
      </w:r>
      <w:r>
        <w:t xml:space="preserve"> </w:t>
      </w:r>
      <w:r>
        <w:t xml:space="preserve">Productivity benefits of internationalisation concentrate at the participation margin, an export-participation cliff from non-exporting to exporting, while within-exporter intensity yields diminishing-to-null marginal returns. The full-sample inverted-U (turning points 39–46% FSTS) is identified mainly through this participation step. Technological capability is positively associated with productivity in all waves and more stably than digital adoption, which is positive in 2009 and 2023, null in 2015, and shows detectable moderation only in 2023. Instrumental-variable estimation yields a null instrumented DAI coefficient (β = 0.018, p = .942; first-stage F = 34.6), indicating the OLS-estimated positive association is likely selection-driven.</w:t>
      </w:r>
    </w:p>
    <w:p>
      <w:pPr>
        <w:pStyle w:val="BodyText"/>
      </w:pPr>
      <w:r>
        <w:rPr>
          <w:bCs/>
          <w:b/>
        </w:rPr>
        <w:t xml:space="preserve">Originality/value.</w:t>
      </w:r>
      <w:r>
        <w:t xml:space="preserve"> </w:t>
      </w:r>
      <w:r>
        <w:t xml:space="preserve">By distinguishing foreign-technology / standards capability from foundational digital adoption, the study shows that pooled digital effects can mask temporal heterogeneity: the productivity relevance of basic digital adoption is context-sensitive and wave-specific rather than uniformly stable.</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w:r>
        <w:t xml:space="preserve"></w:t>
      </w:r>
      <w:r>
        <w:t xml:space="preserve"> </w:t>
      </w: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w:t>
      </w:r>
    </w:p>
    <w:p>
      <w:pPr>
        <w:pStyle w:val="BodyText"/>
      </w:pPr>
      <w:r>
        <w:t xml:space="preserve">Digital tools can reduce</w:t>
      </w:r>
    </w:p>
    <w:p>
      <w:pPr>
        <w:pStyle w:val="BodyText"/>
      </w:pPr>
      <w:r>
        <w:t xml:space="preserve">communication frictions, speed transactions, and support cross-border coordination, but the benefits do not arrive automatically. Their realised value depends on whether a firm holds</w:t>
      </w:r>
      <w:r>
        <w:t xml:space="preserve"> </w:t>
      </w:r>
      <w:r>
        <w:t xml:space="preserve">the organisational depth, absorptive capacity, and complementary routines needed to convert</w:t>
      </w:r>
      <w:r>
        <w:t xml:space="preserve"> </w:t>
      </w:r>
      <w:r>
        <w:t xml:space="preserve">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lifecycle reading of digital internationalisation. The evidence points to digital capability as neither a universally stable premium nor a uniformly ineffective resource; it is an uneven, stage-dependent source of performance heterogeneity — which helps explain how pooled average effects coexist with substantial wave-specific differences.</w:t>
      </w:r>
    </w:p>
    <w:p>
      <w:pPr>
        <w:pStyle w:val="BodyText"/>
      </w:pPr>
      <w:r>
        <w:t xml:space="preserve">A final, contextual contribution is that Vietnam's empirical pattern provides a participation-and-intensity decomposition showing that the robustly identified inverted-U (turning point 39–46 % FSTS) is driven primarily by the participation margin — an</w:t>
      </w:r>
      <w:r>
        <w:t xml:space="preserve"> </w:t>
      </w:r>
      <w:r>
        <w:rPr>
          <w:iCs/>
          <w:i/>
        </w:rPr>
        <w:t xml:space="preserve">Export Cliff Effect</w:t>
      </w:r>
      <w:r>
        <w:t xml:space="preserve"> </w:t>
      </w:r>
      <w:r>
        <w:t xml:space="preserve">at the export-entry threshold: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Section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Section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Section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Section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Section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(Section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(Section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Section 4.5 density check), and the bulk of mass lies at FSTS = 0. When we re-fit M2 / M7 / M8 on</w:t>
      </w:r>
      <w:r>
        <w:t xml:space="preserve"> </w:t>
      </w:r>
      <w:r>
        <w:t xml:space="preserve">the exporter-only sub-sample (FSTS &gt; 0; pooled N = 669, Section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section-45-robustness"/>
    <w:p>
      <w:pPr>
        <w:pStyle w:val="Heading3"/>
      </w:pPr>
      <w:r>
        <w:t xml:space="preserve">Section 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Section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Section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Section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findings carry one central implication: foundational digital adoption in Vietnam should</w:t>
      </w:r>
      <w:r>
        <w:t xml:space="preserve"> </w:t>
      </w:r>
      <w:r>
        <w:t xml:space="preserve">not be read as a universal, temporally stable productivity premium.</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Website-based digital adoption, then, is no constant background</w:t>
      </w:r>
      <w:r>
        <w:t xml:space="preserve"> </w:t>
      </w:r>
      <w:r>
        <w:t xml:space="preserve">advantage; it is a context-sensitive,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best read not as a data artefact of Tier-1-only measurement but as a theoretically meaningful result about the nature of foundational digital adoption in a transitional market. By 2023, a website in Vietnam has become a saturated hygiene factor, a minimum threshold credential so widely diffused across the firm population that it carries little cross-firm variance and therefore cannot differentiate performance or bend the I–P curve. On this reading, digital adoption is a context-dependent, contingent resource rather than a universal asset: it can reshape the export-intensity curve only above a depth threshold, where a firm shifts from merely digitising information (Tier 1, a website) to integrating digital tools into its processes (Tier 2, electronic payment and supply-chain integration). A website alone cannot manage the transaction density of high-export-intensity operations without this deeper integration, which is precisely why its marginal contribution attenuates rather than amplifies as coordination demands rise. The null moderation in Vietnam is thus consistent with, rather than contradicted by, settings in which the construct also captures Tier 2 transaction-enabling items and higher export intensity amplifies the productivity return to digital adoption. The companion Singapore study, where digital adoption is measured at Tier 1+2 and the moderation is a strong amplification, set against the Tier-1-only null documented here, provides sharp empirical evidence for this depth-threshold thesis: the two findings are mutually consistent expressions of a single contingency, not a contradiction.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keeping foreign-technology / standards capability apart from foundational digital adoption. The PSM and IV evidence in Section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Section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Section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Within-firm change over</w:t>
      </w:r>
      <w:r>
        <w:t xml:space="preserve"> </w:t>
      </w:r>
      <w:r>
        <w:t xml:space="preserve">time cannot be identified, nor can time-invariant unobserved heterogeneity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We are careful not</w:t>
      </w:r>
      <w:r>
        <w:t xml:space="preserve"> </w:t>
      </w:r>
      <w:r>
        <w:t xml:space="preserve">to read this as a flaw that hollows out the null moderation result. In a transitional market such as</w:t>
      </w:r>
      <w:r>
        <w:t xml:space="preserve"> </w:t>
      </w:r>
      <w:r>
        <w:t xml:space="preserve">Vietnam, Tier-1 adoption has by 2023 become a saturated minimum threshold, so widely diffused</w:t>
      </w:r>
      <w:r>
        <w:t xml:space="preserve"> </w:t>
      </w:r>
      <w:r>
        <w:t xml:space="preserve">that it carries little cross-firm variance; a construct anchored there is therefore well placed to</w:t>
      </w:r>
      <w:r>
        <w:t xml:space="preserve"> </w:t>
      </w:r>
      <w:r>
        <w:t xml:space="preserve">reveal exactly the theoretical point that foundational digital presence cannot, on its own, bend the</w:t>
      </w:r>
      <w:r>
        <w:t xml:space="preserve"> </w:t>
      </w:r>
      <w:r>
        <w:t xml:space="preserve">I–P curve. The depth-threshold logic this implies, that only a shift from digitising information to</w:t>
      </w:r>
      <w:r>
        <w:t xml:space="preserve"> </w:t>
      </w:r>
      <w:r>
        <w:t xml:space="preserve">integrating digital tools into processes (Tier 2) can reshape the curve, remains an interpretive</w:t>
      </w:r>
      <w:r>
        <w:t xml:space="preserve"> </w:t>
      </w:r>
      <w:r>
        <w:t xml:space="preserve">claim rather than a within-WBES identified one.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and the companion Singapore study, where Tier 1+2 adoption coincides with strong</w:t>
      </w:r>
      <w:r>
        <w:t xml:space="preserve"> </w:t>
      </w:r>
      <w:r>
        <w:t xml:space="preserve">amplification, is consistent with the same threshold. A panel of digitally integrated firms with</w:t>
      </w:r>
      <w:r>
        <w:t xml:space="preserve"> </w:t>
      </w:r>
      <w:r>
        <w:t xml:space="preserve">deeper cross-wave measurement would allow a sharper, directly identified test of whether digital</w:t>
      </w:r>
      <w:r>
        <w:t xml:space="preserve"> </w:t>
      </w:r>
      <w:r>
        <w:t xml:space="preserve">integration above the threshold exhibits a more stable and curve-reshaping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 The Paternoster et al. (1998)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distinguishing foreign-technology / standards capability from foundational digital adoption and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are not interchangeable. Technological capability is comparatively stable and identification-robust across specifications, whereas foundational digital adoption is more wave-sensitive and shows within-sample detectable moderation only in 2023. The broader implication follows: in a transitional economy the productivity relevance</w:t>
      </w:r>
      <w:r>
        <w:t xml:space="preserve"> </w:t>
      </w:r>
      <w:r>
        <w:t xml:space="preserve">of basic digital adoption is real but uneven, and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2026-05-27T02:48:24Z</dcterms:created>
  <dcterms:modified xsi:type="dcterms:W3CDTF">2026-05-27T02:48:24Z</dcterms:modified>
</cp:coreProperties>
</file>

<file path=docProps/custom.xml><?xml version="1.0" encoding="utf-8"?>
<Properties xmlns="http://schemas.openxmlformats.org/officeDocument/2006/custom-properties" xmlns:vt="http://schemas.openxmlformats.org/officeDocument/2006/docPropsVTypes"/>
</file>