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relate to the internationalization–performance (I–P) relationship among firms in Singapore. Singapore is treated as a boundary-case test at the advanced-economy ceiling of the institutional spectrum, revealing how the conventional nonlinear logic behaves when digital infrastructure is near-universally diffused and institutional transaction costs are lowest. Using World Bank Enterprise Survey microdata for Singapore 2023, the analysis distinguishes a Technological Capability Index (TCI), capturing firm-internal capability depth, from a Digital Adoption Index (DAI), capturing foundational digital interfaces. Three findings emerge. Within the observed export-intensity range, the I–P relationship is better characterized as predominantly positive with mild quadratic curvature than as a formally identified inverted-U, with the fitted turning point imprecisely located in a sparsely populated upper tail. Technological capability is positively associated with labour productivity, with no statistically distinguishable TCI moderation under the present design. Digital adoption exhibits no large uniform productivity premium, and its association with productivity strengthens only at higher export intensity. Reporting associations rather than effects, the evidence sharpens the distinction between technological capability and foundational digital adoption, suggesting that digital adoption functions more as a contingent scaling resource than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Viewed against the broader institutional spectrum, Singapore represents the high-institution boundary case of what may be termed</w:t>
      </w:r>
      <w:r>
        <w:t xml:space="preserve"> </w:t>
      </w:r>
      <w:r>
        <w:rPr>
          <w:iCs/>
          <w:i/>
        </w:rPr>
        <w:t xml:space="preserve">internationalization-to-scale</w:t>
      </w:r>
      <w:r>
        <w:t xml:space="preserve">: where transaction costs are lowest and contract enforcement is strongest, exporting functions less as a hazardous escape from a constraining home environment and more as a route to optimizing margins, so that returns to international expansion remain near-monotonically positive and the turning point, if any, is pushed very late into the export-intensity distribution. This contrasts with weak-institution settings, where firms may internationalize to survive and the right-side decline materializes earlier.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In this respect Singapore exemplifies the</w:t>
      </w:r>
      <w:r>
        <w:t xml:space="preserve"> </w:t>
      </w:r>
      <w:r>
        <w:rPr>
          <w:iCs/>
          <w:i/>
        </w:rPr>
        <w:t xml:space="preserve">internationalization-to-scale</w:t>
      </w:r>
      <w:r>
        <w:t xml:space="preserve"> </w:t>
      </w:r>
      <w:r>
        <w:t xml:space="preserve">pole: in a strong-institution environment with minimal transaction costs, exporting reads as a margin-optimizing activity with near-monotonic positive returns and a very late implied turning point, rather than as a survival response in which coordination ceilings bite early. A companion Vietnam study, set in a weaker-institution environment, offers the contrasting</w:t>
      </w:r>
      <w:r>
        <w:t xml:space="preserve"> </w:t>
      </w:r>
      <w:r>
        <w:rPr>
          <w:iCs/>
          <w:i/>
        </w:rPr>
        <w:t xml:space="preserve">internationalization-to-survive</w:t>
      </w:r>
      <w:r>
        <w:t xml:space="preserve"> </w:t>
      </w:r>
      <w:r>
        <w:t xml:space="preserve">pole, and the juxtaposition clarifies that the late, loosely identified turning point observed here is an institutional feature of the high-institution setting rather than an anomaly.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 More pointedly, the amplification visible in Singapore appears to require a</w:t>
      </w:r>
      <w:r>
        <w:t xml:space="preserve"> </w:t>
      </w:r>
      <w:r>
        <w:rPr>
          <w:iCs/>
          <w:i/>
        </w:rPr>
        <w:t xml:space="preserve">depth threshold</w:t>
      </w:r>
      <w:r>
        <w:t xml:space="preserve"> </w:t>
      </w:r>
      <w:r>
        <w:t xml:space="preserve">in digital adoption: it surfaces once firms move beyond a saturated Tier 1 layer (website presence) into combined Tier 1+2 depth (electronic payment and transaction integration), which is precisely why the moderation signal weakens when the index is reduced to the website-only measure. This supports a reading of foundational digital adoption as a context-dependent resource whose performance amplification is contingent on crossing a depth threshold, rather than a uniform advantage. In settings where only a saturated Tier 1 layer is observable, as in a companion study, the same depth-contingent amplification would be expected to remain latent, because the discriminating Tier 2 transaction-volume variation is absent.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2026-05-27T02:49:12Z</dcterms:created>
  <dcterms:modified xsi:type="dcterms:W3CDTF">2026-05-27T02:49:12Z</dcterms:modified>
</cp:coreProperties>
</file>

<file path=docProps/custom.xml><?xml version="1.0" encoding="utf-8"?>
<Properties xmlns="http://schemas.openxmlformats.org/officeDocument/2006/custom-properties" xmlns:vt="http://schemas.openxmlformats.org/officeDocument/2006/docPropsVTypes"/>
</file>