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The productivity benefits of internationalisation are concentrated primarily at the participation margin, the step from non-exporting to exporting, while within-exporter intensity yields diminishing to null marginal returns (Panel H). The full-sample inverted-U (turning points 39–46% FSTS) is identified mainly through this participation step rather than through dense curvature within the exporter subsample. Technological capability is positively associated with productivity in all three waves and in the pooled sample, and its moderating role is more stable than that of foundational digital adoption. Foundational digital adoption is positive in 2009 and 2023, null in 2015, and only shows within-sample detectable moderation in 2023. Instrumental-variable estimation (Panel K) yields a null instrumented DAI coefficient (β = 0.018, p = .942, first-stage F = 34.6), indicating that the OLS-estimated positive DAI association is likely selection-driven rather than causal.</w:t>
      </w:r>
    </w:p>
    <w:p>
      <w:pPr>
        <w:pStyle w:val="BodyText"/>
      </w:pPr>
      <w:r>
        <w:t xml:space="preserve">Originality/value.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2026-05-21T03:14:28Z</dcterms:created>
  <dcterms:modified xsi:type="dcterms:W3CDTF">2026-05-21T03:14:28Z</dcterms:modified>
</cp:coreProperties>
</file>

<file path=docProps/custom.xml><?xml version="1.0" encoding="utf-8"?>
<Properties xmlns="http://schemas.openxmlformats.org/officeDocument/2006/custom-properties" xmlns:vt="http://schemas.openxmlformats.org/officeDocument/2006/docPropsVTypes"/>
</file>