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 U-shaped relationship between export intensity and firm performance among Chinese private firms is</w:t>
      </w:r>
      <w:r>
        <w:t xml:space="preserve"> </w:t>
      </w:r>
      <w:r>
        <w:rPr>
          <w:bCs/>
          <w:b/>
        </w:rPr>
        <w:t xml:space="preserve">structurally durable or wave-specific</w:t>
      </w:r>
      <w:r>
        <w:t xml:space="preserve">, and clarifies the role of technological capability and foundational digital adoption in shaping this relationship.</w:t>
      </w:r>
    </w:p>
    <w:p>
      <w:pPr>
        <w:pStyle w:val="BodyText"/>
      </w:pPr>
      <w:r>
        <w:rPr>
          <w:bCs/>
          <w:b/>
        </w:rPr>
        <w:t xml:space="preserve">Design/methodology/approach.</w:t>
      </w:r>
      <w:r>
        <w:t xml:space="preserve"> </w:t>
      </w:r>
      <w:r>
        <w:t xml:space="preserve">Drawing on World Bank Enterprise Survey microdata for China (2012, N = 2,619; 2024, N = 1,940; pooled N = 4,559), we estimate quadratic models with full cross-wave and capability interactions. The data support</w:t>
      </w:r>
      <w:r>
        <w:t xml:space="preserve"> </w:t>
      </w:r>
      <w:r>
        <w:rPr>
          <w:bCs/>
          <w:b/>
        </w:rPr>
        <w:t xml:space="preserve">H2b (structural durability)</w:t>
      </w:r>
      <w:r>
        <w:t xml:space="preserve"> </w:t>
      </w:r>
      <w:r>
        <w:t xml:space="preserve">over</w:t>
      </w:r>
      <w:r>
        <w:t xml:space="preserve"> </w:t>
      </w:r>
      <w:r>
        <w:rPr>
          <w:bCs/>
          <w:b/>
        </w:rPr>
        <w:t xml:space="preserve">H2a (environmental shift)</w:t>
      </w:r>
      <w:r>
        <w:t xml:space="preserve">: cross-wave Paternoster (1998) z-tests do not reject equality of the linear and squared export-intensity coefficients (FSTS z = +0.82, p = .412;</w:t>
      </w:r>
      <w:r>
        <w:t xml:space="preserve"> </w:t>
      </w:r>
      <m:oMath>
        <m:sSup>
          <m:e>
            <m:r>
              <m:rPr>
                <m:sty m:val="p"/>
              </m:rPr>
              <m:t>F</m:t>
            </m:r>
            <m:r>
              <m:rPr>
                <m:sty m:val="p"/>
              </m:rPr>
              <m:t>S</m:t>
            </m:r>
            <m:r>
              <m:rPr>
                <m:sty m:val="p"/>
              </m:rPr>
              <m:t>T</m:t>
            </m:r>
            <m:r>
              <m:rPr>
                <m:sty m:val="p"/>
              </m:rPr>
              <m:t>S</m:t>
            </m:r>
          </m:e>
          <m:sup>
            <m:r>
              <m:t>2</m:t>
            </m:r>
          </m:sup>
        </m:sSup>
      </m:oMath>
      <w:r>
        <w:t xml:space="preserve"> </w:t>
      </w:r>
      <w:r>
        <w:t xml:space="preserve">z = −0.61, p = .545), and the pooled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yields F(2, 3,558) = 2.24, p = .107.</w:t>
      </w:r>
    </w:p>
    <w:p>
      <w:pPr>
        <w:pStyle w:val="BodyText"/>
      </w:pPr>
      <w:r>
        <w:rPr>
          <w:bCs/>
          <w:b/>
        </w:rPr>
        <w:t xml:space="preserve">Findings.</w:t>
      </w:r>
      <w:r>
        <w:t xml:space="preserve"> </w:t>
      </w:r>
      <w:r>
        <w:t xml:space="preserve">Estimated turning points remain in a remarkably tight range, 49.4 % of total sales in 2012, 47.2 % in 2024, and 48.8 % in the pooled sample, with overlapping 95 % delta-method confidence intervals. Technological capability is robustly associated with higher productivity in both waves (β_z = +0.28 in 2012 and +0.43 in 2024; both p &lt; .001), and a single-item digital-presence proxy (own website) is positively associated with productivity in 2024 and the pooled sample (β_z = +0.07, p = .04 in 2024; β_z = +0.06, p = .006 pooled), but neither construct robustly moderates the curvature of the inverted-U: the joint F-test on capability×curvature interactions (F = 3.26, p = .039) is marginal, individual coefficients are not significant, and the three-way capability×wave×curvature dynamic moderation test returns F = 0.27, p = .760.</w:t>
      </w:r>
    </w:p>
    <w:p>
      <w:pPr>
        <w:pStyle w:val="BodyText"/>
      </w:pPr>
      <w:r>
        <w:rPr>
          <w:bCs/>
          <w:b/>
        </w:rPr>
        <w:t xml:space="preserve">Originality/value.</w:t>
      </w:r>
      <w:r>
        <w:t xml:space="preserve"> </w:t>
      </w:r>
      <w:r>
        <w:rPr>
          <w:bCs/>
          <w:b/>
        </w:rPr>
        <w:t xml:space="preserve">H2b (structural durability) is confirmed over H2a (environmental shift)</w:t>
      </w:r>
      <w:r>
        <w:t xml:space="preserve">: despite substantial structural change in China between 2012 and 2024, cross-wave tests support the thesis that the Chinese internationalization–performance trade-off is</w:t>
      </w:r>
      <w:r>
        <w:t xml:space="preserve"> </w:t>
      </w:r>
      <w:r>
        <w:rPr>
          <w:bCs/>
          <w:b/>
        </w:rPr>
        <w:t xml:space="preserve">durably structural rather than wave-specific or capability-conditioned</w:t>
      </w:r>
      <w:r>
        <w:t xml:space="preserve">. The contribution recasts the inverted-U threshold from a sample-specific regularity into an enduring structural feature of the setting; null capability curvature moderation and unstable working-capital analyses reinforce this interpretation. The findings also extend the China-specific cubic baseline of Author Citation (2026, JFAR) and the multi-country emerging-Asia synthesis of Author Citation (2026, VEFR) by adding a temporal-stability dimension.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8121cb1b48fe36d2174325168dd4479f3cf09f9"/>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381ce464dea7c255896689c71a7f2a436abddd0"/>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9674d8628028e36a007df1a1515aac9fbaaa78"/>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1f7b738080ac3df5042884e554def8fb164d3d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2026-05-21T03:14:29Z</dcterms:created>
  <dcterms:modified xsi:type="dcterms:W3CDTF">2026-05-21T03:14:29Z</dcterms:modified>
</cp:coreProperties>
</file>

<file path=docProps/custom.xml><?xml version="1.0" encoding="utf-8"?>
<Properties xmlns="http://schemas.openxmlformats.org/officeDocument/2006/custom-properties" xmlns:vt="http://schemas.openxmlformats.org/officeDocument/2006/docPropsVTypes"/>
</file>