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64e4a3246bc11b3462ce47e63ec5f91058e1a53"/>
    <w:p>
      <w:pPr>
        <w:pStyle w:val="Heading1"/>
      </w:pPr>
      <w:r>
        <w:t xml:space="preserve">CHUYÊN ĐỀ TIẾN SĨ SỐ 1 — BẢN NHÁP ĐẦY ĐỦ (PHẦN 1: BÌA, TÓM TẮT, CHƯƠNG 1–3)</w:t>
      </w:r>
    </w:p>
    <w:p>
      <w:pPr>
        <w:pStyle w:val="BlockText"/>
      </w:pPr>
      <w:r>
        <w:t xml:space="preserve">Căn cứ Quyết định số 4768/QĐ-ĐHCT ngày 15/10/2024 (giao chuyên đề); Quyết định số 4769/QĐ-ĐHCT ngày 15/10/2024 (tên luận án — "Châu Á").</w:t>
      </w:r>
      <w:r>
        <w:t xml:space="preserve"> </w:t>
      </w:r>
      <w:r>
        <w:t xml:space="preserve">Outline tham chiếu:</w:t>
      </w:r>
      <w:r>
        <w:t xml:space="preserve"> </w:t>
      </w:r>
      <w:r>
        <w:rPr>
          <w:rStyle w:val="VerbatimChar"/>
        </w:rPr>
        <w:t xml:space="preserve">thesis/12_chuyen_de_1_outline_vi.md</w:t>
      </w:r>
      <w:r>
        <w:t xml:space="preserve">.</w:t>
      </w:r>
      <w:r>
        <w:t xml:space="preserve"> </w:t>
      </w:r>
      <w:r>
        <w:t xml:space="preserve">Phần 2:</w:t>
      </w:r>
      <w:r>
        <w:t xml:space="preserve"> </w:t>
      </w:r>
      <w:r>
        <w:rPr>
          <w:rStyle w:val="VerbatimChar"/>
        </w:rPr>
        <w:t xml:space="preserve">thesis/15_cd1_part2_findings_vi.md</w:t>
      </w:r>
      <w:r>
        <w:t xml:space="preserve"> </w:t>
      </w:r>
      <w:r>
        <w:t xml:space="preserve">· Phần 3:</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 </w:t>
      </w:r>
      <w:r>
        <w:t xml:space="preserve">· Chuẩn văn phong:</w:t>
      </w:r>
      <w:r>
        <w:t xml:space="preserve"> </w:t>
      </w:r>
      <w:r>
        <w:rPr>
          <w:rStyle w:val="VerbatimChar"/>
        </w:rPr>
        <w:t xml:space="preserve">thesis/09_academic_writing_standards_vi.md</w:t>
      </w:r>
      <w:r>
        <w:t xml:space="preserve">.</w:t>
      </w:r>
      <w:r>
        <w:t xml:space="preserve"> </w:t>
      </w:r>
      <w:r>
        <w:t xml:space="preserve">Hình minh họa:</w:t>
      </w:r>
      <w:r>
        <w:t xml:space="preserve"> </w:t>
      </w:r>
      <w:r>
        <w:rPr>
          <w:rStyle w:val="VerbatimChar"/>
        </w:rPr>
        <w:t xml:space="preserve">thesis/figures/</w:t>
      </w:r>
      <w:r>
        <w:t xml:space="preserve"> </w:t>
      </w:r>
      <w:r>
        <w:t xml:space="preserve">(8 hình trong text; 2–3 hình theo kế hoạch — chạy</w:t>
      </w:r>
      <w:r>
        <w:t xml:space="preserve"> </w:t>
      </w:r>
      <w:r>
        <w:rPr>
          <w:rStyle w:val="VerbatimChar"/>
        </w:rPr>
        <w:t xml:space="preserve">python3 thesis/generate_figures.py</w:t>
      </w:r>
      <w:r>
        <w:t xml:space="preserve">).</w:t>
      </w:r>
    </w:p>
    <w:p>
      <w:r>
        <w:pict>
          <v:rect style="width:0;height:1.5pt" o:hralign="center" o:hrstd="t" o:hr="t"/>
        </w:pict>
      </w:r>
    </w:p>
    <w:bookmarkStart w:id="20" w:name="trang-bìa"/>
    <w:p>
      <w:pPr>
        <w:pStyle w:val="Heading2"/>
      </w:pPr>
      <w:r>
        <w:t xml:space="preserve">TRANG BÌA</w:t>
      </w:r>
    </w:p>
    <w:p>
      <w:pPr>
        <w:pStyle w:val="SourceCode"/>
      </w:pPr>
      <w:r>
        <w:rPr>
          <w:rStyle w:val="VerbatimChar"/>
        </w:rPr>
        <w:t xml:space="preserve">BỘ GIÁO DỤC VÀ ĐÀO TẠO</w:t>
      </w:r>
      <w:r>
        <w:br/>
      </w:r>
      <w:r>
        <w:rPr>
          <w:rStyle w:val="VerbatimChar"/>
        </w:rPr>
        <w:t xml:space="preserve">TRƯỜNG ĐẠI HỌC CẦN THƠ</w:t>
      </w:r>
      <w:r>
        <w:br/>
      </w:r>
      <w:r>
        <w:rPr>
          <w:rStyle w:val="VerbatimChar"/>
        </w:rPr>
        <w:t xml:space="preserve">TRƯỜNG KINH TẾ</w:t>
      </w:r>
      <w:r>
        <w:br/>
      </w:r>
      <w:r>
        <w:br/>
      </w:r>
      <w:r>
        <w:rPr>
          <w:rStyle w:val="VerbatimChar"/>
        </w:rPr>
        <w:t xml:space="preserve">─────────────</w:t>
      </w:r>
      <w:r>
        <w:br/>
      </w:r>
      <w:r>
        <w:br/>
      </w:r>
      <w:r>
        <w:rPr>
          <w:rStyle w:val="VerbatimChar"/>
        </w:rPr>
        <w:t xml:space="preserve">ĐỖ THÙY HƯƠNG</w:t>
      </w:r>
      <w:r>
        <w:br/>
      </w:r>
      <w:r>
        <w:br/>
      </w:r>
      <w:r>
        <w:rPr>
          <w:rStyle w:val="VerbatimChar"/>
        </w:rPr>
        <w:t xml:space="preserve">CHUYÊN ĐỀ TIẾN SĨ SỐ 1</w:t>
      </w:r>
      <w:r>
        <w:br/>
      </w:r>
      <w:r>
        <w:br/>
      </w:r>
      <w:r>
        <w:rPr>
          <w:rStyle w:val="VerbatimChar"/>
        </w:rPr>
        <w:t xml:space="preserve">THỰC TRẠNG VỀ HIỆU QUẢ HOẠT ĐỘNG KINH DOANH</w:t>
      </w:r>
      <w:r>
        <w:br/>
      </w:r>
      <w:r>
        <w:rPr>
          <w:rStyle w:val="VerbatimChar"/>
        </w:rPr>
        <w:t xml:space="preserve">CỦA CÁC DOANH NGHIỆP Ở CHÂU Á</w:t>
      </w:r>
      <w:r>
        <w:br/>
      </w:r>
      <w:r>
        <w:br/>
      </w:r>
      <w:r>
        <w:rPr>
          <w:rStyle w:val="VerbatimChar"/>
        </w:rPr>
        <w:t xml:space="preserve">Ngành: Quản trị kinh doanh</w:t>
      </w:r>
      <w:r>
        <w:br/>
      </w:r>
      <w:r>
        <w:rPr>
          <w:rStyle w:val="VerbatimChar"/>
        </w:rPr>
        <w:t xml:space="preserve">Mã ngành: 9340101</w:t>
      </w:r>
      <w:r>
        <w:br/>
      </w:r>
      <w:r>
        <w:rPr>
          <w:rStyle w:val="VerbatimChar"/>
        </w:rPr>
        <w:t xml:space="preserve">Mã nghiên cứu sinh: P1323001</w:t>
      </w:r>
      <w:r>
        <w:br/>
      </w:r>
      <w:r>
        <w:br/>
      </w:r>
      <w:r>
        <w:rPr>
          <w:rStyle w:val="VerbatimChar"/>
        </w:rPr>
        <w:t xml:space="preserve">NGƯỜI HƯỚNG DẪN KHOA HỌC</w:t>
      </w:r>
      <w:r>
        <w:br/>
      </w:r>
      <w:r>
        <w:rPr>
          <w:rStyle w:val="VerbatimChar"/>
        </w:rPr>
        <w:t xml:space="preserve">TS. NGUYỄN MINH CẢNH</w:t>
      </w:r>
      <w:r>
        <w:br/>
      </w:r>
      <w:r>
        <w:br/>
      </w:r>
      <w:r>
        <w:rPr>
          <w:rStyle w:val="VerbatimChar"/>
        </w:rP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Chuyên đề này thực hiện phân tích mô tả – chẩn đoán (descriptive-diagnostic) thực trạng hiệu quả hoạt động kinh doanh của doanh nghiệp ở</w:t>
      </w:r>
      <w:r>
        <w:t xml:space="preserve"> </w:t>
      </w:r>
      <w:r>
        <w:rPr>
          <w:bCs/>
          <w:b/>
        </w:rPr>
        <w:t xml:space="preserve">các nền kinh tế châu Á (scope chính)</w:t>
      </w:r>
      <w:r>
        <w:t xml:space="preserve"> </w:t>
      </w:r>
      <w:r>
        <w:t xml:space="preserve">trong giai đoạn</w:t>
      </w:r>
      <w:r>
        <w:t xml:space="preserve"> </w:t>
      </w:r>
      <w:r>
        <w:rPr>
          <w:bCs/>
          <w:b/>
        </w:rPr>
        <w:t xml:space="preserve">2009–2025</w:t>
      </w:r>
      <w:r>
        <w:t xml:space="preserve">, mở rộng so sánh với SIDS Thái Bình Dương như trường hợp biên (boundary case extension). Cơ sở dữ liệu là</w:t>
      </w:r>
      <w:r>
        <w:t xml:space="preserve"> </w:t>
      </w:r>
      <w:r>
        <w:rPr>
          <w:bCs/>
          <w:b/>
        </w:rPr>
        <w:t xml:space="preserve">tổng hợp dữ liệu vi mô (pool) gồm 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(sub-regime) theo khung Biến thiên chế độ thể chế (Institutional Context Regime Variation — ICRV): Advanced đổi mới sáng tạo dẫn dắt (innovation-driven, 5 nước), Advanced tài nguyên dẫn dắt (resource-driven, 5 nước), Upper-middle (6 nước), Emerging (7 nước), Frontier (17 nước), và Quốc đảo nhỏ Thái Bình Dương (Small Island Developing States — SIDS, 7 nước,</w:t>
      </w:r>
      <w:r>
        <w:t xml:space="preserve"> </w:t>
      </w:r>
      <w:r>
        <w:rPr>
          <w:bCs/>
          <w:b/>
        </w:rPr>
        <w:t xml:space="preserve">boundary case extension</w:t>
      </w:r>
      <w:r>
        <w:t xml:space="preserve">).</w:t>
      </w:r>
    </w:p>
    <w:p>
      <w:pPr>
        <w:pStyle w:val="BlockText"/>
      </w:pPr>
      <w:r>
        <w:rPr>
          <w:bCs/>
          <w:b/>
        </w:rPr>
        <w:t xml:space="preserve">Lưu ý phạm vi (scope clarification, v3.3)</w:t>
      </w:r>
      <w:r>
        <w:t xml:space="preserve">: Tiêu đề luận án theo Quyết định 4769/QĐ-ĐHCT (15/10/2024) tập trung</w:t>
      </w:r>
      <w:r>
        <w:t xml:space="preserve"> </w:t>
      </w:r>
      <w:r>
        <w:rPr>
          <w:bCs/>
          <w:b/>
        </w:rPr>
        <w:t xml:space="preserve">"Châu Á"</w:t>
      </w:r>
      <w:r>
        <w:t xml:space="preserve"> </w:t>
      </w:r>
      <w:r>
        <w:t xml:space="preserve">thuần. Pool 47 nền kinh tế bao gồm</w:t>
      </w:r>
      <w:r>
        <w:t xml:space="preserve"> </w:t>
      </w:r>
      <w:r>
        <w:rPr>
          <w:bCs/>
          <w:b/>
        </w:rPr>
        <w:t xml:space="preserve">41 nước châu Á (scope chính)</w:t>
      </w:r>
      <w:r>
        <w:t xml:space="preserve"> </w:t>
      </w:r>
      <w:r>
        <w:t xml:space="preserve">cộng</w:t>
      </w:r>
      <w:r>
        <w:t xml:space="preserve"> </w:t>
      </w:r>
      <w:r>
        <w:rPr>
          <w:bCs/>
          <w:b/>
        </w:rPr>
        <w:t xml:space="preserve">7 SIDS Thái Bình Dương (Fiji, Papua New Guinea, Solomon Islands, Tonga, Vanuatu, Samoa, Kiribati) như trường hợp biên mở rộng (boundary case extension)</w:t>
      </w:r>
      <w:r>
        <w:t xml:space="preserve"> </w:t>
      </w:r>
      <w:r>
        <w:t xml:space="preserve">theo khung phân loại "Asia and Pacific" của Asian Development Bank Regional Classification và World Bank East Asia and Pacific (EAP) Region. SIDS Pacific (n=1.371,</w:t>
      </w:r>
      <w:r>
        <w:t xml:space="preserve"> </w:t>
      </w:r>
      <w:r>
        <w:rPr>
          <w:bCs/>
          <w:b/>
        </w:rPr>
        <w:t xml:space="preserve">1,4% pool</w:t>
      </w:r>
      <w:r>
        <w:t xml:space="preserve">)</w:t>
      </w:r>
      <w:r>
        <w:t xml:space="preserve"> </w:t>
      </w:r>
      <w:r>
        <w:rPr>
          <w:bCs/>
          <w:b/>
        </w:rPr>
        <w:t xml:space="preserve">không thuộc scope chính</w:t>
      </w:r>
      <w:r>
        <w:t xml:space="preserve"> </w:t>
      </w:r>
      <w:r>
        <w:t xml:space="preserve">của tiêu đề mà được đưa vào để minh họa các pattern châu Á qua tương phản — đặc biệt H6 (forced internationalization penalty) trong CĐ2. Chi tiết phân tích firm-level cho SIDS Pacific được tách thành bản thảo P8 riêng (Đỗ &amp; Phan, đang chuẩn bị) để bảo đảm scope coherence cho luận án.</w:t>
      </w:r>
    </w:p>
    <w:p>
      <w:pPr>
        <w:pStyle w:val="FirstParagraph"/>
      </w:pPr>
      <w:r>
        <w:t xml:space="preserve">Phương pháp chủ đạo là thống kê mô tả đa chiều, kết hợp đồ thị, bảng so sánh xuyên quốc gia – xuyên ngành và phân tích hai biến (bivariate).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(dispersion)</w:t>
      </w:r>
      <w:r>
        <w:t xml:space="preserve"> </w:t>
      </w:r>
      <w:r>
        <w:t xml:space="preserve">lớn và không hội tụ. Bảy tiểu cảnh điển hình tồn tại đồng thời (Singapore – Vùng Vịnh Saudi/Qatar/Kuwait – Việt Nam – Trung Quốc – Emerging Asia – Mongolia — sáu tiểu cảnh trong scope chính; SIDS Thái Bình Dương — tiểu cảnh boundary case) với điểm mạnh hiệu quả khác nhau. Tương quan giữa các yếu tố giải thích sơ bộ với hiệu quả thay đổi dấu và cường độ giữa các nhóm thể chế, gợi ý sự cần thiết của các mô hình phi tuyến và điều tiết trong các nghiên cứu tiếp theo. Chuyên đề phát hiện</w:t>
      </w:r>
      <w:r>
        <w:t xml:space="preserve"> </w:t>
      </w:r>
      <w:r>
        <w:rPr>
          <w:bCs/>
          <w:b/>
        </w:rPr>
        <w:t xml:space="preserve">phân nhóm con Advanced</w:t>
      </w:r>
      <w:r>
        <w:t xml:space="preserve"> </w:t>
      </w:r>
      <w:r>
        <w:t xml:space="preserve">(innovation- so với resource-driven) trong scope chính và xác nhận pattern</w:t>
      </w:r>
      <w:r>
        <w:t xml:space="preserve"> </w:t>
      </w:r>
      <w:r>
        <w:rPr>
          <w:bCs/>
          <w:b/>
        </w:rPr>
        <w:t xml:space="preserve">chi phí buộc phải quốc tế hóa (forced internationalization penalty)</w:t>
      </w:r>
      <w:r>
        <w:t xml:space="preserve"> </w:t>
      </w:r>
      <w:r>
        <w:t xml:space="preserve">ở 7 SIDS Thái Bình Dương boundary case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trường hợp biên SIDS Thái Bình Dương.</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w:t>
      </w:r>
      <w:r>
        <w:t xml:space="preserve"> </w:t>
      </w:r>
      <w:r>
        <w:rPr>
          <w:bCs/>
          <w:b/>
        </w:rPr>
        <w:t xml:space="preserve">boundary case extension</w:t>
      </w:r>
      <w:r>
        <w:t xml:space="preserve">).</w:t>
      </w:r>
    </w:p>
    <w:p>
      <w:pPr>
        <w:pStyle w:val="BlockText"/>
      </w:pPr>
      <w:r>
        <w:rPr>
          <w:bCs/>
          <w:b/>
        </w:rPr>
        <w:t xml:space="preserve">Scope clarification (v3.3)</w:t>
      </w:r>
      <w:r>
        <w:t xml:space="preserve">: The dissertation title under Decision 4769/QĐ-ĐHCT (October 15, 2024) focuses on</w:t>
      </w:r>
      <w:r>
        <w:t xml:space="preserve"> </w:t>
      </w:r>
      <w:r>
        <w:rPr>
          <w:bCs/>
          <w:b/>
        </w:rPr>
        <w:t xml:space="preserve">"Asia"</w:t>
      </w:r>
      <w:r>
        <w:t xml:space="preserve"> </w:t>
      </w:r>
      <w:r>
        <w:t xml:space="preserve">proper. The 47-economy pool comprises</w:t>
      </w:r>
      <w:r>
        <w:t xml:space="preserve"> </w:t>
      </w:r>
      <w:r>
        <w:rPr>
          <w:bCs/>
          <w:b/>
        </w:rPr>
        <w:t xml:space="preserve">41 Asian economies (primary scope)</w:t>
      </w:r>
      <w:r>
        <w:t xml:space="preserve"> </w:t>
      </w:r>
      <w:r>
        <w:t xml:space="preserve">and</w:t>
      </w:r>
      <w:r>
        <w:t xml:space="preserve"> </w:t>
      </w:r>
      <w:r>
        <w:rPr>
          <w:bCs/>
          <w:b/>
        </w:rPr>
        <w:t xml:space="preserve">7 Pacific SIDS (Fiji, Papua New Guinea, Solomon Islands, Tonga, Vanuatu, Samoa, Kiribati) as a boundary case extension</w:t>
      </w:r>
      <w:r>
        <w:t xml:space="preserve"> </w:t>
      </w:r>
      <w:r>
        <w:t xml:space="preserve">under the Asian Development Bank's "Asia and Pacific" classification and the World Bank's East Asia and Pacific (EAP) Region. Pacific SIDS (n=1,371,</w:t>
      </w:r>
      <w:r>
        <w:t xml:space="preserve"> </w:t>
      </w:r>
      <w:r>
        <w:rPr>
          <w:bCs/>
          <w:b/>
        </w:rPr>
        <w:t xml:space="preserve">1.4% of pool</w:t>
      </w:r>
      <w:r>
        <w:t xml:space="preserve">) does NOT belong to the primary scope but is included to illuminate Asian patterns through contrast — particularly H6 (forced internationalization penalty) in Specialty Essay 2. Detailed firm-level analysis for Pacific SIDS is separated into manuscript P8 (Do &amp; Phan, in preparation, target</w:t>
      </w:r>
      <w:r>
        <w:t xml:space="preserve"> </w:t>
      </w:r>
      <w:r>
        <w:rPr>
          <w:iCs/>
          <w:i/>
        </w:rPr>
        <w:t xml:space="preserve">World Development</w:t>
      </w:r>
      <w:r>
        <w:t xml:space="preserve">) to maintain scope coherence for the dissertation.</w:t>
      </w:r>
    </w:p>
    <w:p>
      <w:pPr>
        <w:pStyle w:val="FirstParagraph"/>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 — orienting contributions for the dissertation and Specialty Essay 2.</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3"/>
    <w:bookmarkStart w:id="24" w:name="mục-lục"/>
    <w:p>
      <w:pPr>
        <w:pStyle w:val="Heading2"/>
      </w:pPr>
      <w:r>
        <w:t xml:space="preserve">MỤC LỤC</w:t>
      </w:r>
    </w:p>
    <w:p>
      <w:pPr>
        <w:pStyle w:val="FirstParagraph"/>
      </w:pPr>
      <w:r>
        <w:t xml:space="preserve">LỜI CAM ĐOAN .................................................................................................................................... ii</w:t>
      </w:r>
      <w:r>
        <w:t xml:space="preserve"> </w:t>
      </w:r>
      <w:r>
        <w:t xml:space="preserve">TÓM TẮT ............................................................................................................................................ iii</w:t>
      </w:r>
      <w:r>
        <w:t xml:space="preserve"> </w:t>
      </w:r>
      <w:r>
        <w:t xml:space="preserve">ABSTRACT .......................................................................................................................................... iv</w:t>
      </w:r>
      <w:r>
        <w:t xml:space="preserve"> </w:t>
      </w:r>
      <w:r>
        <w:t xml:space="preserve">MỤC LỤC ............................................................................................................................................. v</w:t>
      </w:r>
      <w:r>
        <w:t xml:space="preserve"> </w:t>
      </w:r>
      <w:r>
        <w:t xml:space="preserve">DANH MỤC BẢNG ................................................................................................................................ vii</w:t>
      </w:r>
      <w:r>
        <w:t xml:space="preserve"> </w:t>
      </w:r>
      <w:r>
        <w:t xml:space="preserve">DANH MỤC HÌNH ................................................................................................................................. ix</w:t>
      </w:r>
      <w:r>
        <w:t xml:space="preserve"> </w:t>
      </w:r>
      <w:r>
        <w:t xml:space="preserve">DANH MỤC TỪ VIẾT TẮT .................................................................................................................... x</w:t>
      </w:r>
    </w:p>
    <w:p>
      <w:pPr>
        <w:pStyle w:val="BodyText"/>
      </w:pPr>
      <w:r>
        <w:rPr>
          <w:bCs/>
          <w:b/>
        </w:rPr>
        <w:t xml:space="preserve">CHƯƠNG 1 — GIỚI THIỆU</w:t>
      </w:r>
      <w:r>
        <w:t xml:space="preserve"> </w:t>
      </w:r>
      <w:r>
        <w:rPr>
          <w:iCs/>
          <w:i/>
        </w:rPr>
        <w:t xml:space="preserve">(thesis/14_cd1_part1_intro_theory_vi.md)</w:t>
      </w:r>
      <w:r>
        <w:t xml:space="preserve"> </w:t>
      </w:r>
      <w:r>
        <w:t xml:space="preserve">§1.1 Đặt vấn đề .................................................................................................................... ...</w:t>
      </w:r>
      <w:r>
        <w:t xml:space="preserve"> </w:t>
      </w:r>
      <w:r>
        <w:t xml:space="preserve">§1.2 Mục tiêu chuyên đề ....................................................................................................... ...</w:t>
      </w:r>
      <w:r>
        <w:t xml:space="preserve"> </w:t>
      </w:r>
      <w:r>
        <w:t xml:space="preserve">§1.3 Phạm vi và đối tượng nghiên cứu .................................................................................... ...</w:t>
      </w:r>
      <w:r>
        <w:t xml:space="preserve"> </w:t>
      </w:r>
      <w:r>
        <w:t xml:space="preserve">§1.4 Phương pháp tiếp cận ................................................................................................... ...</w:t>
      </w:r>
      <w:r>
        <w:t xml:space="preserve"> </w:t>
      </w:r>
      <w:r>
        <w:t xml:space="preserve">§1.5 Đóng góp dự kiến của chuyên đề .................................................................................... ...</w:t>
      </w:r>
      <w:r>
        <w:t xml:space="preserve"> </w:t>
      </w:r>
      <w:r>
        <w:t xml:space="preserve">§1.6 Kết cấu chuyên đề ........................................................................................................ ...</w:t>
      </w:r>
    </w:p>
    <w:p>
      <w:pPr>
        <w:pStyle w:val="BodyText"/>
      </w:pPr>
      <w:r>
        <w:rPr>
          <w:bCs/>
          <w:b/>
        </w:rPr>
        <w:t xml:space="preserve">CHƯƠNG 2 — CƠ SỞ LÝ LUẬN VỀ HIỆU QUẢ HOẠT ĐỘNG KINH DOANH</w:t>
      </w:r>
      <w:r>
        <w:t xml:space="preserve"> </w:t>
      </w:r>
      <w:r>
        <w:rPr>
          <w:iCs/>
          <w:i/>
        </w:rPr>
        <w:t xml:space="preserve">(thesis/14)</w:t>
      </w:r>
      <w:r>
        <w:t xml:space="preserve"> </w:t>
      </w:r>
      <w:r>
        <w:t xml:space="preserve">§2.1 Khái niệm hiệu quả hoạt động kinh doanh ...................................................................... ...</w:t>
      </w:r>
      <w:r>
        <w:t xml:space="preserve"> </w:t>
      </w:r>
      <w:r>
        <w:t xml:space="preserve">§2.2 Các chiều đo lường hiệu quả ......................................................................................... ...</w:t>
      </w:r>
      <w:r>
        <w:t xml:space="preserve"> </w:t>
      </w:r>
      <w:r>
        <w:t xml:space="preserve">§2.3 Meta-analysis và tổng quan văn liệu I–P ......................................................................... ...</w:t>
      </w:r>
      <w:r>
        <w:t xml:space="preserve"> </w:t>
      </w:r>
      <w:r>
        <w:t xml:space="preserve">§2.4 Chuẩn hóa xuyên quốc gia ............................................................................................ ...</w:t>
      </w:r>
      <w:r>
        <w:t xml:space="preserve"> </w:t>
      </w:r>
      <w:r>
        <w:t xml:space="preserve">§2.5 Ba khung lý thuyết cốt lõi .............................................................................................. ...</w:t>
      </w:r>
      <w:r>
        <w:t xml:space="preserve"> </w:t>
      </w:r>
      <w:r>
        <w:t xml:space="preserve">§2.6 Điều kiện biên cho U-curve Lu &amp; Beamish (2004) .............................................................. ...</w:t>
      </w:r>
      <w:r>
        <w:t xml:space="preserve"> </w:t>
      </w:r>
      <w:r>
        <w:t xml:space="preserve">§2.7 Khung 4-Tier chuyển đổi số + mô hình CDCM .................................................................. ...</w:t>
      </w:r>
    </w:p>
    <w:p>
      <w:pPr>
        <w:pStyle w:val="BodyText"/>
      </w:pPr>
      <w:r>
        <w:rPr>
          <w:bCs/>
          <w:b/>
        </w:rPr>
        <w:t xml:space="preserve">CHƯƠNG 3 — KHUNG PHÂN LOẠI 6 PHÂN NHÓM CON ICRV</w:t>
      </w:r>
      <w:r>
        <w:t xml:space="preserve"> </w:t>
      </w:r>
      <w:r>
        <w:rPr>
          <w:iCs/>
          <w:i/>
        </w:rPr>
        <w:t xml:space="preserve">(thesis/14)</w:t>
      </w:r>
      <w:r>
        <w:t xml:space="preserve"> </w:t>
      </w:r>
      <w:r>
        <w:t xml:space="preserve">§3.1 Cơ sở phân loại ............................................................................................................ ...</w:t>
      </w:r>
      <w:r>
        <w:t xml:space="preserve"> </w:t>
      </w:r>
      <w:r>
        <w:t xml:space="preserve">§3.2 6 phân nhóm con ICRV (Bảng 3.1) ................................................................................. ...</w:t>
      </w:r>
      <w:r>
        <w:t xml:space="preserve"> </w:t>
      </w:r>
      <w:r>
        <w:t xml:space="preserve">§3.3 Logic phân nhóm (Bảng 3.2) ......................................................................................... ...</w:t>
      </w:r>
      <w:r>
        <w:t xml:space="preserve"> </w:t>
      </w:r>
      <w:r>
        <w:t xml:space="preserve">§3.4 Ranh giới phân loại và trường hợp đặc biệt .................................................................... ...</w:t>
      </w:r>
      <w:r>
        <w:t xml:space="preserve"> </w:t>
      </w:r>
      <w:r>
        <w:t xml:space="preserve">§3.5 So sánh với khung phân loại hiện có ............................................................................... ...</w:t>
      </w:r>
    </w:p>
    <w:p>
      <w:pPr>
        <w:pStyle w:val="BodyText"/>
      </w:pPr>
      <w:r>
        <w:rPr>
          <w:bCs/>
          <w:b/>
        </w:rPr>
        <w:t xml:space="preserve">CHƯƠNG 4 — THỰC TRẠNG HIỆU QUẢ DOANH NGHIỆP CHÂU Á 2009–2025</w:t>
      </w:r>
      <w:r>
        <w:t xml:space="preserve"> </w:t>
      </w:r>
      <w:r>
        <w:rPr>
          <w:iCs/>
          <w:i/>
        </w:rPr>
        <w:t xml:space="preserve">(thesis/15)</w:t>
      </w:r>
      <w:r>
        <w:t xml:space="preserve"> </w:t>
      </w:r>
      <w:r>
        <w:t xml:space="preserve">§4.1 Nguồn dữ liệu World Bank Enterprise Surveys ................................................................. ...</w:t>
      </w:r>
      <w:r>
        <w:t xml:space="preserve"> </w:t>
      </w:r>
      <w:r>
        <w:t xml:space="preserve">§4.2 Thực trạng năng suất lao động — phân tán trong từng quốc gia ....................................... ...</w:t>
      </w:r>
      <w:r>
        <w:t xml:space="preserve"> </w:t>
      </w:r>
      <w:r>
        <w:t xml:space="preserve">§4.3 Thực trạng quốc tế hóa và tăng trưởng việc làm ............................................................. ...</w:t>
      </w:r>
      <w:r>
        <w:t xml:space="preserve"> </w:t>
      </w:r>
      <w:r>
        <w:t xml:space="preserve">§4.4 Thực trạng đổi mới sáng tạo và năng lực số ................................................................... ...</w:t>
      </w:r>
      <w:r>
        <w:t xml:space="preserve"> </w:t>
      </w:r>
      <w:r>
        <w:t xml:space="preserve">§4.4.0 Khung 5 lĩnh vực chỉ số WBES ................................................................................. ...</w:t>
      </w:r>
      <w:r>
        <w:t xml:space="preserve"> </w:t>
      </w:r>
      <w:r>
        <w:t xml:space="preserve">§4.4.5 Tái định hình Tier-1 Digital Presence rebrand .............................................................. ...</w:t>
      </w:r>
      <w:r>
        <w:t xml:space="preserve"> </w:t>
      </w:r>
      <w:r>
        <w:t xml:space="preserve">§4.4.5.1 Đối chiếu DAI xuyên quốc gia (Singapore vs Việt Nam) ............................................ ...</w:t>
      </w:r>
      <w:r>
        <w:t xml:space="preserve"> </w:t>
      </w:r>
      <w:r>
        <w:t xml:space="preserve">§4.5 Thực trạng cấu trúc doanh nghiệp ................................................................................. ...</w:t>
      </w:r>
      <w:r>
        <w:t xml:space="preserve"> </w:t>
      </w:r>
      <w:r>
        <w:t xml:space="preserve">§4.5.5 Bốn rào cản hàng đầu của khu vực tư nhân Á-Thái ..................................................... ...</w:t>
      </w:r>
      <w:r>
        <w:t xml:space="preserve"> </w:t>
      </w:r>
      <w:r>
        <w:t xml:space="preserve">§4.5.6 Giới tính quản lý cấp cao và sở hữu ........................................................................... ...</w:t>
      </w:r>
      <w:r>
        <w:t xml:space="preserve"> </w:t>
      </w:r>
      <w:r>
        <w:t xml:space="preserve">§4.6 Bức tranh thay đổi theo thời gian ................................................................................... ...</w:t>
      </w:r>
      <w:r>
        <w:t xml:space="preserve"> </w:t>
      </w:r>
      <w:r>
        <w:t xml:space="preserve">§4.7 Tổng hợp Chương 4 (10 kết luận chính) .......................................................................... ...</w:t>
      </w:r>
      <w:r>
        <w:t xml:space="preserve"> </w:t>
      </w:r>
      <w:r>
        <w:t xml:space="preserve">§4.7.5 Phân biệt 3 thuật ngữ tham nhũng WBES (Bribery vs Graft) ....................................... ...</w:t>
      </w:r>
      <w:r>
        <w:t xml:space="preserve"> </w:t>
      </w:r>
      <w:r>
        <w:t xml:space="preserve">§4.8 Khung phân tích cấp ngành — kế hoạch CĐ2 ................................................................. ...</w:t>
      </w:r>
      <w:r>
        <w:t xml:space="preserve"> </w:t>
      </w:r>
      <w:r>
        <w:t xml:space="preserve">§4.9 Phân nhóm con Emerging — phát hiện dị biệt nội bộ ....................................................... ...</w:t>
      </w:r>
      <w:r>
        <w:t xml:space="preserve"> </w:t>
      </w:r>
      <w:r>
        <w:t xml:space="preserve">§4.10 Phân tích sâu đợt khảo sát 2025 .................................................................................. ...</w:t>
      </w:r>
      <w:r>
        <w:t xml:space="preserve"> </w:t>
      </w:r>
      <w:r>
        <w:t xml:space="preserve">§4.11 Cô lập đứt gãy schema BREADY 2025 — 3 đề xuất phương pháp luận .............................. ...</w:t>
      </w:r>
    </w:p>
    <w:p>
      <w:pPr>
        <w:pStyle w:val="BodyText"/>
      </w:pPr>
      <w:r>
        <w:rPr>
          <w:bCs/>
          <w:b/>
        </w:rPr>
        <w:t xml:space="preserve">CHƯƠNG 5 — BẢY TIỂU CẢNH ĐIỂN HÌNH</w:t>
      </w:r>
      <w:r>
        <w:t xml:space="preserve"> </w:t>
      </w:r>
      <w:r>
        <w:rPr>
          <w:iCs/>
          <w:i/>
        </w:rPr>
        <w:t xml:space="preserve">(thesis/16)</w:t>
      </w:r>
      <w:r>
        <w:t xml:space="preserve"> </w:t>
      </w:r>
      <w:r>
        <w:t xml:space="preserve">§5.1 Singapore (Advanced đổi mới sáng tạo dẫn dắt, n=623) .................................................. ...</w:t>
      </w:r>
      <w:r>
        <w:t xml:space="preserve"> </w:t>
      </w:r>
      <w:r>
        <w:t xml:space="preserve">§5.2 Saudi Arabia, Qatar và Kuwait (Advanced tài nguyên dẫn dắt, n=1.632) ........................... ...</w:t>
      </w:r>
      <w:r>
        <w:t xml:space="preserve"> </w:t>
      </w:r>
      <w:r>
        <w:t xml:space="preserve">§5.3 Việt Nam (Emerging, n=3.077) — cập nhật ADB Vietnam Outlook 2026 ............................... ...</w:t>
      </w:r>
      <w:r>
        <w:t xml:space="preserve"> </w:t>
      </w:r>
      <w:r>
        <w:t xml:space="preserve">§5.4 Trung Quốc (Upper-middle, n=4.889) .............................................................................. ...</w:t>
      </w:r>
      <w:r>
        <w:t xml:space="preserve"> </w:t>
      </w:r>
      <w:r>
        <w:t xml:space="preserve">§5.5 Tổng hợp Emerging Asia (n=42.278) — bổ sung India case ............................................... ...</w:t>
      </w:r>
      <w:r>
        <w:t xml:space="preserve"> </w:t>
      </w:r>
      <w:r>
        <w:t xml:space="preserve">§5.6 Mongolia (Emerging — tài nguyên, n=1.905) ................................................................... ...</w:t>
      </w:r>
      <w:r>
        <w:t xml:space="preserve"> </w:t>
      </w:r>
      <w:r>
        <w:t xml:space="preserve">§5.7 SIDS Thái Bình Dương (7 nước — boundary case, n=1.371) .............................................. ...</w:t>
      </w:r>
      <w:r>
        <w:t xml:space="preserve"> </w:t>
      </w:r>
      <w:r>
        <w:t xml:space="preserve">§5.7.5 Bối cảnh kinh tế vĩ mô PICs Pacific ............................................................................ ...</w:t>
      </w:r>
      <w:r>
        <w:t xml:space="preserve"> </w:t>
      </w:r>
      <w:r>
        <w:t xml:space="preserve">§5.8 So sánh tổng hợp bảy tiểu cảnh ..................................................................................... ...</w:t>
      </w:r>
    </w:p>
    <w:p>
      <w:pPr>
        <w:pStyle w:val="BodyText"/>
      </w:pPr>
      <w:r>
        <w:rPr>
          <w:bCs/>
          <w:b/>
        </w:rPr>
        <w:t xml:space="preserve">CHƯƠNG 6 — CÁC YẾU TỐ GIẢI THÍCH SƠ BỘ</w:t>
      </w:r>
      <w:r>
        <w:t xml:space="preserve"> </w:t>
      </w:r>
      <w:r>
        <w:rPr>
          <w:iCs/>
          <w:i/>
        </w:rPr>
        <w:t xml:space="preserve">(thesis/16)</w:t>
      </w:r>
      <w:r>
        <w:t xml:space="preserve"> </w:t>
      </w:r>
      <w:r>
        <w:t xml:space="preserve">§6.1 Pattern giới tính trong quản lý và sở hữu — bằng chứng EAP châu Á dẫn đầu .................... ...</w:t>
      </w:r>
      <w:r>
        <w:t xml:space="preserve"> </w:t>
      </w:r>
      <w:r>
        <w:t xml:space="preserve">§6.2 Đường cong U của đổi mới sáng tạo và số hóa ................................................................ ...</w:t>
      </w:r>
    </w:p>
    <w:p>
      <w:pPr>
        <w:pStyle w:val="BodyText"/>
      </w:pPr>
      <w:r>
        <w:rPr>
          <w:bCs/>
          <w:b/>
        </w:rPr>
        <w:t xml:space="preserve">CHƯƠNG 7 — KHOẢNG TRỐNG THỰC TIỄN VÀ KẾT LUẬN</w:t>
      </w:r>
      <w:r>
        <w:t xml:space="preserve"> </w:t>
      </w:r>
      <w:r>
        <w:rPr>
          <w:iCs/>
          <w:i/>
        </w:rPr>
        <w:t xml:space="preserve">(thesis/16)</w:t>
      </w:r>
      <w:r>
        <w:t xml:space="preserve"> </w:t>
      </w:r>
      <w:r>
        <w:t xml:space="preserve">§7.1 Khoảng trống nghiên cứu thực tiễn ................................................................................ ...</w:t>
      </w:r>
      <w:r>
        <w:t xml:space="preserve"> </w:t>
      </w:r>
      <w:r>
        <w:t xml:space="preserve">§7.2 Kết luận chính (8 kết luận) ............................................................................................ ...</w:t>
      </w:r>
      <w:r>
        <w:t xml:space="preserve"> </w:t>
      </w:r>
      <w:r>
        <w:t xml:space="preserve">§7.3 Hàm ý cho luận án và Chuyên đề 2 ................................................................................. ...</w:t>
      </w:r>
      <w:r>
        <w:t xml:space="preserve"> </w:t>
      </w:r>
      <w:r>
        <w:t xml:space="preserve">§7.3.1 Hàm ý lý thuyết ........................................................................................................ ...</w:t>
      </w:r>
      <w:r>
        <w:t xml:space="preserve"> </w:t>
      </w:r>
      <w:r>
        <w:t xml:space="preserve">§7.3.2 Hàm ý phương pháp luận .......................................................................................... ...</w:t>
      </w:r>
      <w:r>
        <w:t xml:space="preserve"> </w:t>
      </w:r>
      <w:r>
        <w:t xml:space="preserve">§7.3.3 Hàm ý chính sách (9 hàm ý) ...................................................................................... ...</w:t>
      </w:r>
      <w:r>
        <w:t xml:space="preserve"> </w:t>
      </w:r>
      <w:r>
        <w:t xml:space="preserve">§7.3.4 Hàm ý cho Chuyên đề 2 và luận án ............................................................................. ...</w:t>
      </w:r>
      <w:r>
        <w:t xml:space="preserve"> </w:t>
      </w:r>
      <w:r>
        <w:t xml:space="preserve">§7.4 Hạn chế của chuyên đề ................................................................................................. ...</w:t>
      </w:r>
      <w:r>
        <w:t xml:space="preserve"> </w:t>
      </w:r>
      <w:r>
        <w:t xml:space="preserve">§7.5 Kế hoạch hoàn thiện ..................................................................................................... ...</w:t>
      </w:r>
    </w:p>
    <w:p>
      <w:pPr>
        <w:pStyle w:val="BodyText"/>
      </w:pPr>
      <w:r>
        <w:rPr>
          <w:bCs/>
          <w:b/>
        </w:rPr>
        <w:t xml:space="preserve">TÀI LIỆU THAM KHẢO</w:t>
      </w:r>
      <w:r>
        <w:t xml:space="preserve"> </w:t>
      </w:r>
      <w:r>
        <w:rPr>
          <w:iCs/>
          <w:i/>
        </w:rPr>
        <w:t xml:space="preserve">(APA 7th — đầy đủ: thesis/04_references_apa7.md)</w:t>
      </w:r>
      <w:r>
        <w:t xml:space="preserve"> </w:t>
      </w:r>
      <w:r>
        <w:t xml:space="preserve">...................... ...</w:t>
      </w:r>
    </w:p>
    <w:p>
      <w:pPr>
        <w:pStyle w:val="BodyText"/>
      </w:pPr>
      <w:r>
        <w:rPr>
          <w:bCs/>
          <w:b/>
        </w:rPr>
        <w:t xml:space="preserve">PHỤ LỤC</w:t>
      </w:r>
      <w:r>
        <w:t xml:space="preserve"> </w:t>
      </w:r>
      <w:r>
        <w:t xml:space="preserve">Phụ lục A — Phạm vi thực tế nhóm dữ liệu WBES (47 nền kinh tế, 108 cặp QG×năm) .............. ...</w:t>
      </w:r>
      <w:r>
        <w:t xml:space="preserve"> </w:t>
      </w:r>
      <w:r>
        <w:t xml:space="preserve">Phụ lục B–G — (sẽ bổ sung giai đoạn 1–3, 6–8/2026) ............................................................. ...</w:t>
      </w:r>
      <w:r>
        <w:t xml:space="preserve"> </w:t>
      </w:r>
      <w:r>
        <w:t xml:space="preserve">Phụ lục H — Bảng thuật ngữ Anh-Việt rút gọn</w:t>
      </w:r>
      <w:r>
        <w:t xml:space="preserve"> </w:t>
      </w:r>
      <w:r>
        <w:rPr>
          <w:iCs/>
          <w:i/>
        </w:rPr>
        <w:t xml:space="preserve">(xem thesis/09b_vn_term_glossary.md)</w:t>
      </w:r>
      <w:r>
        <w:t xml:space="preserve"> </w:t>
      </w:r>
      <w:r>
        <w:t xml:space="preserve">........... ...</w:t>
      </w:r>
    </w:p>
    <w:p>
      <w:pPr>
        <w:pStyle w:val="BodyText"/>
      </w:pPr>
      <w:r>
        <w:rPr>
          <w:iCs/>
          <w:i/>
        </w:rPr>
        <w:t xml:space="preserve">Số trang sẽ cập nhật khi xuất Word/PDF.</w:t>
      </w:r>
    </w:p>
    <w:p>
      <w:r>
        <w:pict>
          <v:rect style="width:0;height:1.5pt" o:hralign="center" o:hrstd="t" o:hr="t"/>
        </w:pict>
      </w:r>
    </w:p>
    <w:bookmarkEnd w:id="24"/>
    <w:bookmarkStart w:id="25"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Số hiệu</w:t>
            </w:r>
          </w:p>
        </w:tc>
        <w:tc>
          <w:tcPr/>
          <w:p>
            <w:pPr>
              <w:pStyle w:val="Compact"/>
              <w:jc w:val="left"/>
            </w:pPr>
            <w:r>
              <w:t xml:space="preserve">Tên bảng</w:t>
            </w:r>
          </w:p>
        </w:tc>
        <w:tc>
          <w:tcPr/>
          <w:p>
            <w:pPr>
              <w:pStyle w:val="Compact"/>
              <w:jc w:val="left"/>
            </w:pPr>
            <w:r>
              <w:t xml:space="preserve">Chương</w:t>
            </w:r>
          </w:p>
        </w:tc>
      </w:tr>
      <w:tr>
        <w:tc>
          <w:tcPr/>
          <w:p>
            <w:pPr>
              <w:pStyle w:val="Compact"/>
              <w:jc w:val="left"/>
            </w:pPr>
            <w:r>
              <w:t xml:space="preserve">Bảng 2.6.1</w:t>
            </w:r>
          </w:p>
        </w:tc>
        <w:tc>
          <w:tcPr/>
          <w:p>
            <w:pPr>
              <w:pStyle w:val="Compact"/>
              <w:jc w:val="left"/>
            </w:pPr>
            <w:r>
              <w:t xml:space="preserve">Ma trận đối chiếu lý thuyết 3 trạng thái U-curve theo 3 điều kiện cấu trúc</w:t>
            </w:r>
          </w:p>
        </w:tc>
        <w:tc>
          <w:tcPr/>
          <w:p>
            <w:pPr>
              <w:pStyle w:val="Compact"/>
              <w:jc w:val="left"/>
            </w:pPr>
            <w:r>
              <w:t xml:space="preserve">2</w:t>
            </w:r>
          </w:p>
        </w:tc>
      </w:tr>
      <w:tr>
        <w:tc>
          <w:tcPr/>
          <w:p>
            <w:pPr>
              <w:pStyle w:val="Compact"/>
              <w:jc w:val="left"/>
            </w:pPr>
            <w:r>
              <w:t xml:space="preserve">Bảng 2.7</w:t>
            </w:r>
          </w:p>
        </w:tc>
        <w:tc>
          <w:tcPr/>
          <w:p>
            <w:pPr>
              <w:pStyle w:val="Compact"/>
              <w:jc w:val="left"/>
            </w:pPr>
            <w:r>
              <w:t xml:space="preserve">Bốn tầng bậc số hóa theo Verhoef et al. (2021) — Khung 4-Tier với quan sát WBES</w:t>
            </w:r>
          </w:p>
        </w:tc>
        <w:tc>
          <w:tcPr/>
          <w:p>
            <w:pPr>
              <w:pStyle w:val="Compact"/>
              <w:jc w:val="left"/>
            </w:pPr>
            <w:r>
              <w:t xml:space="preserve">2</w:t>
            </w:r>
          </w:p>
        </w:tc>
      </w:tr>
      <w:tr>
        <w:tc>
          <w:tcPr/>
          <w:p>
            <w:pPr>
              <w:pStyle w:val="Compact"/>
              <w:jc w:val="left"/>
            </w:pPr>
            <w:r>
              <w:t xml:space="preserve">Bảng 3.1</w:t>
            </w:r>
          </w:p>
        </w:tc>
        <w:tc>
          <w:tcPr/>
          <w:p>
            <w:pPr>
              <w:pStyle w:val="Compact"/>
              <w:jc w:val="left"/>
            </w:pPr>
            <w:r>
              <w:t xml:space="preserve">Phân loại 6 phân nhóm con ICRV — 47 nền kinh tế (scope chính + boundary case)</w:t>
            </w:r>
          </w:p>
        </w:tc>
        <w:tc>
          <w:tcPr/>
          <w:p>
            <w:pPr>
              <w:pStyle w:val="Compact"/>
              <w:jc w:val="left"/>
            </w:pPr>
            <w:r>
              <w:t xml:space="preserve">3</w:t>
            </w:r>
          </w:p>
        </w:tc>
      </w:tr>
      <w:tr>
        <w:tc>
          <w:tcPr/>
          <w:p>
            <w:pPr>
              <w:pStyle w:val="Compact"/>
              <w:jc w:val="left"/>
            </w:pPr>
            <w:r>
              <w:t xml:space="preserve">Bảng 3.2</w:t>
            </w:r>
          </w:p>
        </w:tc>
        <w:tc>
          <w:tcPr/>
          <w:p>
            <w:pPr>
              <w:pStyle w:val="Compact"/>
              <w:jc w:val="left"/>
            </w:pPr>
            <w:r>
              <w:t xml:space="preserve">Logic phân nhóm con ICRV và tiêu chí xếp loại</w:t>
            </w:r>
          </w:p>
        </w:tc>
        <w:tc>
          <w:tcPr/>
          <w:p>
            <w:pPr>
              <w:pStyle w:val="Compact"/>
              <w:jc w:val="left"/>
            </w:pPr>
            <w:r>
              <w:t xml:space="preserve">3</w:t>
            </w:r>
          </w:p>
        </w:tc>
      </w:tr>
      <w:tr>
        <w:tc>
          <w:tcPr/>
          <w:p>
            <w:pPr>
              <w:pStyle w:val="Compact"/>
              <w:jc w:val="left"/>
            </w:pPr>
            <w:r>
              <w:t xml:space="preserve">Bảng 4.1</w:t>
            </w:r>
          </w:p>
        </w:tc>
        <w:tc>
          <w:tcPr/>
          <w:p>
            <w:pPr>
              <w:pStyle w:val="Compact"/>
              <w:jc w:val="left"/>
            </w:pPr>
            <w:r>
              <w:t xml:space="preserve">Phân tán năng suất lao động theo phân nhóm con thể chế (n=108 cặp QG×năm — v3.1)</w:t>
            </w:r>
          </w:p>
        </w:tc>
        <w:tc>
          <w:tcPr/>
          <w:p>
            <w:pPr>
              <w:pStyle w:val="Compact"/>
              <w:jc w:val="left"/>
            </w:pPr>
            <w:r>
              <w:t xml:space="preserve">4</w:t>
            </w:r>
          </w:p>
        </w:tc>
      </w:tr>
      <w:tr>
        <w:tc>
          <w:tcPr/>
          <w:p>
            <w:pPr>
              <w:pStyle w:val="Compact"/>
              <w:jc w:val="left"/>
            </w:pPr>
            <w:r>
              <w:t xml:space="preserve">Bảng 4.3</w:t>
            </w:r>
          </w:p>
        </w:tc>
        <w:tc>
          <w:tcPr/>
          <w:p>
            <w:pPr>
              <w:pStyle w:val="Compact"/>
              <w:jc w:val="left"/>
            </w:pPr>
            <w:r>
              <w:t xml:space="preserve">FSTS, doanh nghiệp xuất khẩu và CAGR việc làm theo phân nhóm con</w:t>
            </w:r>
          </w:p>
        </w:tc>
        <w:tc>
          <w:tcPr/>
          <w:p>
            <w:pPr>
              <w:pStyle w:val="Compact"/>
              <w:jc w:val="left"/>
            </w:pPr>
            <w:r>
              <w:t xml:space="preserve">4</w:t>
            </w:r>
          </w:p>
        </w:tc>
      </w:tr>
      <w:tr>
        <w:tc>
          <w:tcPr/>
          <w:p>
            <w:pPr>
              <w:pStyle w:val="Compact"/>
              <w:jc w:val="left"/>
            </w:pPr>
            <w:r>
              <w:t xml:space="preserve">Bảng 4.4</w:t>
            </w:r>
          </w:p>
        </w:tc>
        <w:tc>
          <w:tcPr/>
          <w:p>
            <w:pPr>
              <w:pStyle w:val="Compact"/>
              <w:jc w:val="left"/>
            </w:pPr>
            <w:r>
              <w:t xml:space="preserve">Đổi mới sáng tạo và áp dụng số theo phân nhóm con (%)</w:t>
            </w:r>
          </w:p>
        </w:tc>
        <w:tc>
          <w:tcPr/>
          <w:p>
            <w:pPr>
              <w:pStyle w:val="Compact"/>
              <w:jc w:val="left"/>
            </w:pPr>
            <w:r>
              <w:t xml:space="preserve">4</w:t>
            </w:r>
          </w:p>
        </w:tc>
      </w:tr>
      <w:tr>
        <w:tc>
          <w:tcPr/>
          <w:p>
            <w:pPr>
              <w:pStyle w:val="Compact"/>
              <w:jc w:val="left"/>
            </w:pPr>
            <w:r>
              <w:t xml:space="preserve">Bảng 4.4.0</w:t>
            </w:r>
          </w:p>
        </w:tc>
        <w:tc>
          <w:tcPr/>
          <w:p>
            <w:pPr>
              <w:pStyle w:val="Compact"/>
              <w:jc w:val="left"/>
            </w:pPr>
            <w:r>
              <w:t xml:space="preserve">Khung 5 lĩnh vực chỉ số WBES — định vị phạm vi đo lường §4.4</w:t>
            </w:r>
          </w:p>
        </w:tc>
        <w:tc>
          <w:tcPr/>
          <w:p>
            <w:pPr>
              <w:pStyle w:val="Compact"/>
              <w:jc w:val="left"/>
            </w:pPr>
            <w:r>
              <w:t xml:space="preserve">4</w:t>
            </w:r>
          </w:p>
        </w:tc>
      </w:tr>
      <w:tr>
        <w:tc>
          <w:tcPr/>
          <w:p>
            <w:pPr>
              <w:pStyle w:val="Compact"/>
              <w:jc w:val="left"/>
            </w:pPr>
            <w:r>
              <w:t xml:space="preserve">Bảng 4.4.5.1</w:t>
            </w:r>
          </w:p>
        </w:tc>
        <w:tc>
          <w:tcPr/>
          <w:p>
            <w:pPr>
              <w:pStyle w:val="Compact"/>
              <w:jc w:val="left"/>
            </w:pPr>
            <w:r>
              <w:t xml:space="preserve">Đối chiếu cơ chế DAI: Singapore (Advanced innovation) vs Việt Nam (Emerging) — CDCM</w:t>
            </w:r>
          </w:p>
        </w:tc>
        <w:tc>
          <w:tcPr/>
          <w:p>
            <w:pPr>
              <w:pStyle w:val="Compact"/>
              <w:jc w:val="left"/>
            </w:pPr>
            <w:r>
              <w:t xml:space="preserve">4</w:t>
            </w:r>
          </w:p>
        </w:tc>
      </w:tr>
      <w:tr>
        <w:tc>
          <w:tcPr/>
          <w:p>
            <w:pPr>
              <w:pStyle w:val="Compact"/>
              <w:jc w:val="left"/>
            </w:pPr>
            <w:r>
              <w:t xml:space="preserve">Bảng 4.5</w:t>
            </w:r>
          </w:p>
        </w:tc>
        <w:tc>
          <w:tcPr/>
          <w:p>
            <w:pPr>
              <w:pStyle w:val="Compact"/>
              <w:jc w:val="left"/>
            </w:pPr>
            <w:r>
              <w:t xml:space="preserve">Cấu trúc doanh nghiệp theo phân nhóm con (%)</w:t>
            </w:r>
          </w:p>
        </w:tc>
        <w:tc>
          <w:tcPr/>
          <w:p>
            <w:pPr>
              <w:pStyle w:val="Compact"/>
              <w:jc w:val="left"/>
            </w:pPr>
            <w:r>
              <w:t xml:space="preserve">4</w:t>
            </w:r>
          </w:p>
        </w:tc>
      </w:tr>
      <w:tr>
        <w:tc>
          <w:tcPr/>
          <w:p>
            <w:pPr>
              <w:pStyle w:val="Compact"/>
              <w:jc w:val="left"/>
            </w:pPr>
            <w:r>
              <w:t xml:space="preserve">Bảng 4.5.5</w:t>
            </w:r>
          </w:p>
        </w:tc>
        <w:tc>
          <w:tcPr/>
          <w:p>
            <w:pPr>
              <w:pStyle w:val="Compact"/>
              <w:jc w:val="left"/>
            </w:pPr>
            <w:r>
              <w:t xml:space="preserve">Bốn rào cản hàng đầu khu vực tư nhân Asia-Pacific — phân tầng theo ICRV</w:t>
            </w:r>
          </w:p>
        </w:tc>
        <w:tc>
          <w:tcPr/>
          <w:p>
            <w:pPr>
              <w:pStyle w:val="Compact"/>
              <w:jc w:val="left"/>
            </w:pPr>
            <w:r>
              <w:t xml:space="preserve">4</w:t>
            </w:r>
          </w:p>
        </w:tc>
      </w:tr>
      <w:tr>
        <w:tc>
          <w:tcPr/>
          <w:p>
            <w:pPr>
              <w:pStyle w:val="Compact"/>
              <w:jc w:val="left"/>
            </w:pPr>
            <w:r>
              <w:t xml:space="preserve">Bảng 4.5.6</w:t>
            </w:r>
          </w:p>
        </w:tc>
        <w:tc>
          <w:tcPr/>
          <w:p>
            <w:pPr>
              <w:pStyle w:val="Compact"/>
              <w:jc w:val="left"/>
            </w:pPr>
            <w:r>
              <w:t xml:space="preserve">Tỷ lệ nữ quản lý cấp cao và nữ sở hữu — theo phân nhóm con ICRV</w:t>
            </w:r>
          </w:p>
        </w:tc>
        <w:tc>
          <w:tcPr/>
          <w:p>
            <w:pPr>
              <w:pStyle w:val="Compact"/>
              <w:jc w:val="left"/>
            </w:pPr>
            <w:r>
              <w:t xml:space="preserve">4</w:t>
            </w:r>
          </w:p>
        </w:tc>
      </w:tr>
      <w:tr>
        <w:tc>
          <w:tcPr/>
          <w:p>
            <w:pPr>
              <w:pStyle w:val="Compact"/>
              <w:jc w:val="left"/>
            </w:pPr>
            <w:r>
              <w:t xml:space="preserve">Bảng 4.6</w:t>
            </w:r>
          </w:p>
        </w:tc>
        <w:tc>
          <w:tcPr/>
          <w:p>
            <w:pPr>
              <w:pStyle w:val="Compact"/>
              <w:jc w:val="left"/>
            </w:pPr>
            <w:r>
              <w:t xml:space="preserve">Δ điểm phần trăm so sánh 2018–2025 với 2009–2012 (5 chỉ số × 4 phân nhóm con)</w:t>
            </w:r>
          </w:p>
        </w:tc>
        <w:tc>
          <w:tcPr/>
          <w:p>
            <w:pPr>
              <w:pStyle w:val="Compact"/>
              <w:jc w:val="left"/>
            </w:pPr>
            <w:r>
              <w:t xml:space="preserve">4</w:t>
            </w:r>
          </w:p>
        </w:tc>
      </w:tr>
      <w:tr>
        <w:tc>
          <w:tcPr/>
          <w:p>
            <w:pPr>
              <w:pStyle w:val="Compact"/>
              <w:jc w:val="left"/>
            </w:pPr>
            <w:r>
              <w:t xml:space="preserve">Bảng 4.7.5</w:t>
            </w:r>
          </w:p>
        </w:tc>
        <w:tc>
          <w:tcPr/>
          <w:p>
            <w:pPr>
              <w:pStyle w:val="Compact"/>
              <w:jc w:val="left"/>
            </w:pPr>
            <w:r>
              <w:t xml:space="preserve">Phân biệt 3 chỉ số tham nhũng WBES: Bribery Incidence, Bribery Depth, Graft Index</w:t>
            </w:r>
          </w:p>
        </w:tc>
        <w:tc>
          <w:tcPr/>
          <w:p>
            <w:pPr>
              <w:pStyle w:val="Compact"/>
              <w:jc w:val="left"/>
            </w:pPr>
            <w:r>
              <w:t xml:space="preserve">4</w:t>
            </w:r>
          </w:p>
        </w:tc>
      </w:tr>
      <w:tr>
        <w:tc>
          <w:tcPr/>
          <w:p>
            <w:pPr>
              <w:pStyle w:val="Compact"/>
              <w:jc w:val="left"/>
            </w:pPr>
            <w:r>
              <w:t xml:space="preserve">Bảng 4.8.1</w:t>
            </w:r>
          </w:p>
        </w:tc>
        <w:tc>
          <w:tcPr/>
          <w:p>
            <w:pPr>
              <w:pStyle w:val="Compact"/>
              <w:jc w:val="left"/>
            </w:pPr>
            <w:r>
              <w:t xml:space="preserve">Khung phân loại 9 ngành ISIC Rev. 4 và dynamism profile (Kafouros 2023)</w:t>
            </w:r>
          </w:p>
        </w:tc>
        <w:tc>
          <w:tcPr/>
          <w:p>
            <w:pPr>
              <w:pStyle w:val="Compact"/>
              <w:jc w:val="left"/>
            </w:pPr>
            <w:r>
              <w:t xml:space="preserve">4</w:t>
            </w:r>
          </w:p>
        </w:tc>
      </w:tr>
      <w:tr>
        <w:tc>
          <w:tcPr/>
          <w:p>
            <w:pPr>
              <w:pStyle w:val="Compact"/>
              <w:jc w:val="left"/>
            </w:pPr>
            <w:r>
              <w:t xml:space="preserve">Bảng 4.9</w:t>
            </w:r>
          </w:p>
        </w:tc>
        <w:tc>
          <w:tcPr/>
          <w:p>
            <w:pPr>
              <w:pStyle w:val="Compact"/>
              <w:jc w:val="left"/>
            </w:pPr>
            <w:r>
              <w:t xml:space="preserve">Phân nhóm con Emerging — 3 tiểu nhóm, số liệu tổng hợp 2009–2025 (n=47.803)</w:t>
            </w:r>
          </w:p>
        </w:tc>
        <w:tc>
          <w:tcPr/>
          <w:p>
            <w:pPr>
              <w:pStyle w:val="Compact"/>
              <w:jc w:val="left"/>
            </w:pPr>
            <w:r>
              <w:t xml:space="preserve">4</w:t>
            </w:r>
          </w:p>
        </w:tc>
      </w:tr>
      <w:tr>
        <w:tc>
          <w:tcPr/>
          <w:p>
            <w:pPr>
              <w:pStyle w:val="Compact"/>
              <w:jc w:val="left"/>
            </w:pPr>
            <w:r>
              <w:t xml:space="preserve">Bảng 4.10</w:t>
            </w:r>
          </w:p>
        </w:tc>
        <w:tc>
          <w:tcPr/>
          <w:p>
            <w:pPr>
              <w:pStyle w:val="Compact"/>
              <w:jc w:val="left"/>
            </w:pPr>
            <w:r>
              <w:t xml:space="preserve">14 quốc gia trong đợt khảo sát 2025 (n=16.979 — gồm Kiribati)</w:t>
            </w:r>
          </w:p>
        </w:tc>
        <w:tc>
          <w:tcPr/>
          <w:p>
            <w:pPr>
              <w:pStyle w:val="Compact"/>
              <w:jc w:val="left"/>
            </w:pPr>
            <w:r>
              <w:t xml:space="preserve">4</w:t>
            </w:r>
          </w:p>
        </w:tc>
      </w:tr>
      <w:tr>
        <w:tc>
          <w:tcPr/>
          <w:p>
            <w:pPr>
              <w:pStyle w:val="Compact"/>
              <w:jc w:val="left"/>
            </w:pPr>
            <w:r>
              <w:t xml:space="preserve">Bảng 4.11</w:t>
            </w:r>
          </w:p>
        </w:tc>
        <w:tc>
          <w:tcPr/>
          <w:p>
            <w:pPr>
              <w:pStyle w:val="Compact"/>
              <w:jc w:val="left"/>
            </w:pPr>
            <w:r>
              <w:t xml:space="preserve">Hệ thống ba lớp phòng vệ (triple-defense) chống đứt gãy schema BREADY 2025</w:t>
            </w:r>
          </w:p>
        </w:tc>
        <w:tc>
          <w:tcPr/>
          <w:p>
            <w:pPr>
              <w:pStyle w:val="Compact"/>
              <w:jc w:val="left"/>
            </w:pPr>
            <w:r>
              <w:t xml:space="preserve">4</w:t>
            </w:r>
          </w:p>
        </w:tc>
      </w:tr>
      <w:tr>
        <w:tc>
          <w:tcPr/>
          <w:p>
            <w:pPr>
              <w:pStyle w:val="Compact"/>
              <w:jc w:val="left"/>
            </w:pPr>
            <w:r>
              <w:t xml:space="preserve">Bảng 5.1</w:t>
            </w:r>
          </w:p>
        </w:tc>
        <w:tc>
          <w:tcPr/>
          <w:p>
            <w:pPr>
              <w:pStyle w:val="Compact"/>
              <w:jc w:val="left"/>
            </w:pPr>
            <w:r>
              <w:t xml:space="preserve">Ma trận so sánh đa chiều bảy tiểu cảnh điển hình (n=101.185)</w:t>
            </w:r>
          </w:p>
        </w:tc>
        <w:tc>
          <w:tcPr/>
          <w:p>
            <w:pPr>
              <w:pStyle w:val="Compact"/>
              <w:jc w:val="left"/>
            </w:pPr>
            <w:r>
              <w:t xml:space="preserve">5</w:t>
            </w:r>
          </w:p>
        </w:tc>
      </w:tr>
      <w:tr>
        <w:tc>
          <w:tcPr/>
          <w:p>
            <w:pPr>
              <w:pStyle w:val="Compact"/>
              <w:jc w:val="left"/>
            </w:pPr>
            <w:r>
              <w:t xml:space="preserve">Bảng 5.2</w:t>
            </w:r>
          </w:p>
        </w:tc>
        <w:tc>
          <w:tcPr/>
          <w:p>
            <w:pPr>
              <w:pStyle w:val="Compact"/>
              <w:jc w:val="left"/>
            </w:pPr>
            <w:r>
              <w:t xml:space="preserve">So sánh chỉ số chính: Saudi Arabia, Qatar, Kuwait vs Singapore</w:t>
            </w:r>
          </w:p>
        </w:tc>
        <w:tc>
          <w:tcPr/>
          <w:p>
            <w:pPr>
              <w:pStyle w:val="Compact"/>
              <w:jc w:val="left"/>
            </w:pPr>
            <w:r>
              <w:t xml:space="preserve">5</w:t>
            </w:r>
          </w:p>
        </w:tc>
      </w:tr>
      <w:tr>
        <w:tc>
          <w:tcPr/>
          <w:p>
            <w:pPr>
              <w:pStyle w:val="Compact"/>
              <w:jc w:val="left"/>
            </w:pPr>
            <w:r>
              <w:t xml:space="preserve">Bảng 6.1</w:t>
            </w:r>
          </w:p>
        </w:tc>
        <w:tc>
          <w:tcPr/>
          <w:p>
            <w:pPr>
              <w:pStyle w:val="Compact"/>
              <w:jc w:val="left"/>
            </w:pPr>
            <w:r>
              <w:t xml:space="preserve">Hệ số tương quan Pearson (n=101.185) — 4 yếu tố × 5 phân nhóm con</w:t>
            </w:r>
          </w:p>
        </w:tc>
        <w:tc>
          <w:tcPr/>
          <w:p>
            <w:pPr>
              <w:pStyle w:val="Compact"/>
              <w:jc w:val="left"/>
            </w:pPr>
            <w:r>
              <w:t xml:space="preserve">6</w:t>
            </w:r>
          </w:p>
        </w:tc>
      </w:tr>
      <w:tr>
        <w:tc>
          <w:tcPr/>
          <w:p>
            <w:pPr>
              <w:pStyle w:val="Compact"/>
              <w:jc w:val="left"/>
            </w:pPr>
            <w:r>
              <w:t xml:space="preserve">Bảng 6.1.1</w:t>
            </w:r>
          </w:p>
        </w:tc>
        <w:tc>
          <w:tcPr/>
          <w:p>
            <w:pPr>
              <w:pStyle w:val="Compact"/>
              <w:jc w:val="left"/>
            </w:pPr>
            <w:r>
              <w:t xml:space="preserve">Tỷ lệ nữ quản lý cấp cao và nữ sở hữu — phân tầng theo khu vực địa lý (WBES)</w:t>
            </w:r>
          </w:p>
        </w:tc>
        <w:tc>
          <w:tcPr/>
          <w:p>
            <w:pPr>
              <w:pStyle w:val="Compact"/>
              <w:jc w:val="left"/>
            </w:pPr>
            <w:r>
              <w:t xml:space="preserve">6</w:t>
            </w:r>
          </w:p>
        </w:tc>
      </w:tr>
      <w:tr>
        <w:tc>
          <w:tcPr/>
          <w:p>
            <w:pPr>
              <w:pStyle w:val="Compact"/>
              <w:jc w:val="left"/>
            </w:pPr>
            <w:r>
              <w:t xml:space="preserve">Bảng 6.1.2</w:t>
            </w:r>
          </w:p>
        </w:tc>
        <w:tc>
          <w:tcPr/>
          <w:p>
            <w:pPr>
              <w:pStyle w:val="Compact"/>
              <w:jc w:val="left"/>
            </w:pPr>
            <w:r>
              <w:t xml:space="preserve">Đối chiếu mối quan hệ I-P và cơ chế DAI/TCI: Việt Nam vs Singapore (CDCM)</w:t>
            </w:r>
          </w:p>
        </w:tc>
        <w:tc>
          <w:tcPr/>
          <w:p>
            <w:pPr>
              <w:pStyle w:val="Compact"/>
              <w:jc w:val="left"/>
            </w:pPr>
            <w:r>
              <w:t xml:space="preserve">6</w:t>
            </w:r>
          </w:p>
        </w:tc>
      </w:tr>
    </w:tbl>
    <w:p>
      <w:pPr>
        <w:pStyle w:val="BodyText"/>
      </w:pPr>
      <w:r>
        <w:rPr>
          <w:iCs/>
          <w:i/>
        </w:rPr>
        <w:t xml:space="preserve">Ghi chú: Bảng 3.1 và 3.2 trong Chương 3 (compressed — xem commit</w:t>
      </w:r>
      <w:r>
        <w:rPr>
          <w:iCs/>
          <w:i/>
        </w:rPr>
        <w:t xml:space="preserve"> </w:t>
      </w:r>
      <w:r>
        <w:rPr>
          <w:rStyle w:val="VerbatimChar"/>
          <w:iCs/>
          <w:i/>
        </w:rPr>
        <w:t xml:space="preserve">cd4276a</w:t>
      </w:r>
      <w:r>
        <w:rPr>
          <w:iCs/>
          <w:i/>
        </w:rPr>
        <w:t xml:space="preserve">). Số trang điền khi xuất Word/PDF.</w:t>
      </w:r>
    </w:p>
    <w:bookmarkEnd w:id="25"/>
    <w:bookmarkStart w:id="26"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Số hiệu</w:t>
            </w:r>
          </w:p>
        </w:tc>
        <w:tc>
          <w:tcPr/>
          <w:p>
            <w:pPr>
              <w:pStyle w:val="Compact"/>
              <w:jc w:val="left"/>
            </w:pPr>
            <w:r>
              <w:t xml:space="preserve">Tên hình</w:t>
            </w:r>
          </w:p>
        </w:tc>
        <w:tc>
          <w:tcPr/>
          <w:p>
            <w:pPr>
              <w:pStyle w:val="Compact"/>
              <w:jc w:val="left"/>
            </w:pPr>
            <w:r>
              <w:t xml:space="preserve">Chương</w:t>
            </w:r>
          </w:p>
        </w:tc>
      </w:tr>
      <w:tr>
        <w:tc>
          <w:tcPr/>
          <w:p>
            <w:pPr>
              <w:pStyle w:val="Compact"/>
              <w:jc w:val="left"/>
            </w:pPr>
            <w:r>
              <w:t xml:space="preserve">Hình 4.0</w:t>
            </w:r>
          </w:p>
        </w:tc>
        <w:tc>
          <w:tcPr/>
          <w:p>
            <w:pPr>
              <w:pStyle w:val="Compact"/>
              <w:jc w:val="left"/>
            </w:pPr>
            <w:r>
              <w:t xml:space="preserve">Phân bố mẫu 101.185 doanh nghiệp xuyên 17 năm (2009–2025) theo 3 thế hệ schema WBES</w:t>
            </w:r>
          </w:p>
        </w:tc>
        <w:tc>
          <w:tcPr/>
          <w:p>
            <w:pPr>
              <w:pStyle w:val="Compact"/>
              <w:jc w:val="left"/>
            </w:pPr>
            <w:r>
              <w:t xml:space="preserve">4</w:t>
            </w:r>
          </w:p>
        </w:tc>
      </w:tr>
      <w:tr>
        <w:tc>
          <w:tcPr/>
          <w:p>
            <w:pPr>
              <w:pStyle w:val="Compact"/>
              <w:jc w:val="left"/>
            </w:pPr>
            <w:r>
              <w:t xml:space="preserve">Hình 4.1.1</w:t>
            </w:r>
          </w:p>
        </w:tc>
        <w:tc>
          <w:tcPr/>
          <w:p>
            <w:pPr>
              <w:pStyle w:val="Compact"/>
              <w:jc w:val="left"/>
            </w:pPr>
            <w:r>
              <w:t xml:space="preserve">Bar chart phân bố pool theo 5 phân nhóm con thể chế (n=101.185 doanh nghiệp)</w:t>
            </w:r>
          </w:p>
        </w:tc>
        <w:tc>
          <w:tcPr/>
          <w:p>
            <w:pPr>
              <w:pStyle w:val="Compact"/>
              <w:jc w:val="left"/>
            </w:pPr>
            <w:r>
              <w:t xml:space="preserve">4</w:t>
            </w:r>
          </w:p>
        </w:tc>
      </w:tr>
      <w:tr>
        <w:tc>
          <w:tcPr/>
          <w:p>
            <w:pPr>
              <w:pStyle w:val="Compact"/>
              <w:jc w:val="left"/>
            </w:pPr>
            <w:r>
              <w:t xml:space="preserve">Hình 4.2</w:t>
            </w:r>
          </w:p>
        </w:tc>
        <w:tc>
          <w:tcPr/>
          <w:p>
            <w:pPr>
              <w:pStyle w:val="Compact"/>
              <w:jc w:val="left"/>
            </w:pPr>
            <w:r>
              <w:t xml:space="preserve">Phân phối năng suất theo 6 phân nhóm con (kernel density, n=101.185)</w:t>
            </w:r>
          </w:p>
        </w:tc>
        <w:tc>
          <w:tcPr/>
          <w:p>
            <w:pPr>
              <w:pStyle w:val="Compact"/>
              <w:jc w:val="left"/>
            </w:pPr>
            <w:r>
              <w:t xml:space="preserve">4</w:t>
            </w:r>
          </w:p>
        </w:tc>
      </w:tr>
      <w:tr>
        <w:tc>
          <w:tcPr/>
          <w:p>
            <w:pPr>
              <w:pStyle w:val="Compact"/>
              <w:jc w:val="left"/>
            </w:pPr>
            <w:r>
              <w:t xml:space="preserve">Hình 4.4</w:t>
            </w:r>
          </w:p>
        </w:tc>
        <w:tc>
          <w:tcPr/>
          <w:p>
            <w:pPr>
              <w:pStyle w:val="Compact"/>
              <w:jc w:val="left"/>
            </w:pPr>
            <w:r>
              <w:t xml:space="preserve">Slope chart 2009–2012 vs 2018–2025: Δ điểm phần trăm 5 chỉ số × 4 phân nhóm con</w:t>
            </w:r>
          </w:p>
        </w:tc>
        <w:tc>
          <w:tcPr/>
          <w:p>
            <w:pPr>
              <w:pStyle w:val="Compact"/>
              <w:jc w:val="left"/>
            </w:pPr>
            <w:r>
              <w:t xml:space="preserve">4</w:t>
            </w:r>
          </w:p>
        </w:tc>
      </w:tr>
      <w:tr>
        <w:tc>
          <w:tcPr/>
          <w:p>
            <w:pPr>
              <w:pStyle w:val="Compact"/>
              <w:jc w:val="left"/>
            </w:pPr>
            <w:r>
              <w:t xml:space="preserve">Hình 4.6</w:t>
            </w:r>
          </w:p>
        </w:tc>
        <w:tc>
          <w:tcPr/>
          <w:p>
            <w:pPr>
              <w:pStyle w:val="Compact"/>
              <w:jc w:val="left"/>
            </w:pPr>
            <w:r>
              <w:t xml:space="preserve">Phân phối quy mô doanh nghiệp theo phân nhóm con (stacked bar, n=101.185)</w:t>
            </w:r>
          </w:p>
        </w:tc>
        <w:tc>
          <w:tcPr/>
          <w:p>
            <w:pPr>
              <w:pStyle w:val="Compact"/>
              <w:jc w:val="left"/>
            </w:pPr>
            <w:r>
              <w:t xml:space="preserve">4</w:t>
            </w:r>
          </w:p>
        </w:tc>
      </w:tr>
      <w:tr>
        <w:tc>
          <w:tcPr/>
          <w:p>
            <w:pPr>
              <w:pStyle w:val="Compact"/>
              <w:jc w:val="left"/>
            </w:pPr>
            <w:r>
              <w:t xml:space="preserve">Hình 4.7</w:t>
            </w:r>
          </w:p>
        </w:tc>
        <w:tc>
          <w:tcPr/>
          <w:p>
            <w:pPr>
              <w:pStyle w:val="Compact"/>
              <w:jc w:val="left"/>
            </w:pPr>
            <w:r>
              <w:t xml:space="preserve">Spider/radar chart 5 chiều × 2 mốc thời gian: Advanced, Emerging, SIDS Thái Bình Dương</w:t>
            </w:r>
          </w:p>
        </w:tc>
        <w:tc>
          <w:tcPr/>
          <w:p>
            <w:pPr>
              <w:pStyle w:val="Compact"/>
              <w:jc w:val="left"/>
            </w:pPr>
            <w:r>
              <w:t xml:space="preserve">4</w:t>
            </w:r>
          </w:p>
        </w:tc>
      </w:tr>
      <w:tr>
        <w:tc>
          <w:tcPr/>
          <w:p>
            <w:pPr>
              <w:pStyle w:val="Compact"/>
              <w:jc w:val="left"/>
            </w:pPr>
            <w:r>
              <w:t xml:space="preserve">Hình 5.6.1</w:t>
            </w:r>
          </w:p>
        </w:tc>
        <w:tc>
          <w:tcPr/>
          <w:p>
            <w:pPr>
              <w:pStyle w:val="Compact"/>
              <w:jc w:val="left"/>
            </w:pPr>
            <w:r>
              <w:t xml:space="preserve">Mongolia: Tiến trình 4 chỉ số qua 4 đợt khảo sát WBES 2009–2025</w:t>
            </w:r>
          </w:p>
        </w:tc>
        <w:tc>
          <w:tcPr/>
          <w:p>
            <w:pPr>
              <w:pStyle w:val="Compact"/>
              <w:jc w:val="left"/>
            </w:pPr>
            <w:r>
              <w:t xml:space="preserve">5</w:t>
            </w:r>
          </w:p>
        </w:tc>
      </w:tr>
      <w:tr>
        <w:tc>
          <w:tcPr/>
          <w:p>
            <w:pPr>
              <w:pStyle w:val="Compact"/>
              <w:jc w:val="left"/>
            </w:pPr>
            <w:r>
              <w:t xml:space="preserve">Hình 6.1</w:t>
            </w:r>
          </w:p>
        </w:tc>
        <w:tc>
          <w:tcPr/>
          <w:p>
            <w:pPr>
              <w:pStyle w:val="Compact"/>
              <w:jc w:val="left"/>
            </w:pPr>
            <w:r>
              <w:t xml:space="preserve">Bốn lần đảo dấu hệ số tương quan cross-regime — minh họa institutional moderation</w:t>
            </w:r>
          </w:p>
        </w:tc>
        <w:tc>
          <w:tcPr/>
          <w:p>
            <w:pPr>
              <w:pStyle w:val="Compact"/>
              <w:jc w:val="left"/>
            </w:pPr>
            <w:r>
              <w:t xml:space="preserve">6</w:t>
            </w:r>
          </w:p>
        </w:tc>
      </w:tr>
    </w:tbl>
    <w:p>
      <w:pPr>
        <w:pStyle w:val="BodyText"/>
      </w:pPr>
      <w:r>
        <w:rPr>
          <w:iCs/>
          <w:i/>
        </w:rPr>
        <w:t xml:space="preserve">Ghi chú: Tái lập tất cả hình bằng lệnh</w:t>
      </w:r>
      <w:r>
        <w:rPr>
          <w:iCs/>
          <w:i/>
        </w:rPr>
        <w:t xml:space="preserve"> </w:t>
      </w:r>
      <w:r>
        <w:rPr>
          <w:rStyle w:val="VerbatimChar"/>
          <w:iCs/>
          <w:i/>
        </w:rPr>
        <w:t xml:space="preserve">python3 thesis/generate_figures.py</w:t>
      </w:r>
      <w:r>
        <w:rPr>
          <w:iCs/>
          <w:i/>
        </w:rPr>
        <w:t xml:space="preserve">. File tái lập lưu tại</w:t>
      </w:r>
      <w:r>
        <w:rPr>
          <w:iCs/>
          <w:i/>
        </w:rPr>
        <w:t xml:space="preserve"> </w:t>
      </w:r>
      <w:r>
        <w:rPr>
          <w:rStyle w:val="VerbatimChar"/>
          <w:iCs/>
          <w:i/>
        </w:rPr>
        <w:t xml:space="preserve">thesis/figures/</w:t>
      </w:r>
      <w:r>
        <w:rPr>
          <w:iCs/>
          <w:i/>
        </w:rPr>
        <w:t xml:space="preserve">. Số trang điền khi xuất Word/PDF.</w:t>
      </w:r>
    </w:p>
    <w:bookmarkEnd w:id="26"/>
    <w:bookmarkStart w:id="27"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 đầy đủ</w:t>
            </w:r>
          </w:p>
        </w:tc>
        <w:tc>
          <w:tcPr/>
          <w:p>
            <w:pPr>
              <w:pStyle w:val="Compact"/>
              <w:jc w:val="left"/>
            </w:pPr>
            <w:r>
              <w:t xml:space="preserve">Tiếng Việt</w:t>
            </w:r>
          </w:p>
        </w:tc>
      </w:tr>
      <w:tr>
        <w:tc>
          <w:tcPr/>
          <w:p>
            <w:pPr>
              <w:pStyle w:val="Compact"/>
              <w:jc w:val="left"/>
            </w:pPr>
            <w:r>
              <w:rPr>
                <w:bCs/>
                <w:b/>
              </w:rP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rPr>
                <w:bCs/>
                <w:b/>
              </w:rPr>
              <w:t xml:space="preserve">APA 7th</w:t>
            </w:r>
          </w:p>
        </w:tc>
        <w:tc>
          <w:tcPr/>
          <w:p>
            <w:pPr>
              <w:pStyle w:val="Compact"/>
              <w:jc w:val="left"/>
            </w:pPr>
            <w:r>
              <w:t xml:space="preserve">American Psychological Association, 7th edition</w:t>
            </w:r>
          </w:p>
        </w:tc>
        <w:tc>
          <w:tcPr/>
          <w:p>
            <w:pPr>
              <w:pStyle w:val="Compact"/>
              <w:jc w:val="left"/>
            </w:pPr>
            <w:r>
              <w:t xml:space="preserve">Quy cách trích dẫn APA phiên bản 7</w:t>
            </w:r>
          </w:p>
        </w:tc>
      </w:tr>
      <w:tr>
        <w:tc>
          <w:tcPr/>
          <w:p>
            <w:pPr>
              <w:pStyle w:val="Compact"/>
              <w:jc w:val="left"/>
            </w:pPr>
            <w:r>
              <w:rPr>
                <w:bCs/>
                <w:b/>
              </w:rPr>
              <w:t xml:space="preserve">APJM</w:t>
            </w:r>
          </w:p>
        </w:tc>
        <w:tc>
          <w:tcPr/>
          <w:p>
            <w:pPr>
              <w:pStyle w:val="Compact"/>
              <w:jc w:val="left"/>
            </w:pPr>
            <w:r>
              <w:t xml:space="preserve">Asia Pacific Journal of Management</w:t>
            </w:r>
          </w:p>
        </w:tc>
        <w:tc>
          <w:tcPr/>
          <w:p>
            <w:pPr>
              <w:pStyle w:val="Compact"/>
              <w:jc w:val="left"/>
            </w:pPr>
            <w:r>
              <w:t xml:space="preserve">Tạp chí Quản trị châu Á–Thái Bình Dương</w:t>
            </w:r>
          </w:p>
        </w:tc>
      </w:tr>
      <w:tr>
        <w:tc>
          <w:tcPr/>
          <w:p>
            <w:pPr>
              <w:pStyle w:val="Compact"/>
              <w:jc w:val="left"/>
            </w:pPr>
            <w:r>
              <w:rPr>
                <w:bCs/>
                <w:b/>
              </w:rP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rPr>
                <w:bCs/>
                <w:b/>
              </w:rPr>
              <w:t xml:space="preserve">BREADY</w:t>
            </w:r>
          </w:p>
        </w:tc>
        <w:tc>
          <w:tcPr/>
          <w:p>
            <w:pPr>
              <w:pStyle w:val="Compact"/>
              <w:jc w:val="left"/>
            </w:pPr>
            <w:r>
              <w:t xml:space="preserve">Standardized2018+/BREADY (tên tắt nhóm tác giả cho WBES schema sau 2018)</w:t>
            </w:r>
          </w:p>
        </w:tc>
        <w:tc>
          <w:tcPr/>
          <w:p>
            <w:pPr>
              <w:pStyle w:val="Compact"/>
              <w:jc w:val="left"/>
            </w:pPr>
            <w:r>
              <w:t xml:space="preserve">Lược đồ bảng hỏi WBES từ 2018 trở đi</w:t>
            </w:r>
          </w:p>
        </w:tc>
      </w:tr>
      <w:tr>
        <w:tc>
          <w:tcPr/>
          <w:p>
            <w:pPr>
              <w:pStyle w:val="Compact"/>
              <w:jc w:val="left"/>
            </w:pPr>
            <w:r>
              <w:rPr>
                <w:bCs/>
                <w:b/>
              </w:rPr>
              <w:t xml:space="preserve">CAGR</w:t>
            </w:r>
          </w:p>
        </w:tc>
        <w:tc>
          <w:tcPr/>
          <w:p>
            <w:pPr>
              <w:pStyle w:val="Compact"/>
              <w:jc w:val="left"/>
            </w:pPr>
            <w:r>
              <w:t xml:space="preserve">Compound Annual Growth Rate</w:t>
            </w:r>
          </w:p>
        </w:tc>
        <w:tc>
          <w:tcPr/>
          <w:p>
            <w:pPr>
              <w:pStyle w:val="Compact"/>
              <w:jc w:val="left"/>
            </w:pPr>
            <w:r>
              <w:t xml:space="preserve">Tốc độ tăng trưởng kép hằng năm</w:t>
            </w:r>
          </w:p>
        </w:tc>
      </w:tr>
      <w:tr>
        <w:tc>
          <w:tcPr/>
          <w:p>
            <w:pPr>
              <w:pStyle w:val="Compact"/>
              <w:jc w:val="left"/>
            </w:pPr>
            <w:r>
              <w:rPr>
                <w:bCs/>
                <w:b/>
              </w:rPr>
              <w:t xml:space="preserve">CĐ1 / CĐ2</w:t>
            </w:r>
          </w:p>
        </w:tc>
        <w:tc>
          <w:tcPr/>
          <w:p>
            <w:pPr>
              <w:pStyle w:val="Compact"/>
              <w:jc w:val="left"/>
            </w:pPr>
            <w:r>
              <w:t xml:space="preserve">Chuyên đề tiến sĩ số 1 / số 2</w:t>
            </w:r>
          </w:p>
        </w:tc>
        <w:tc>
          <w:tcPr/>
          <w:p>
            <w:pPr>
              <w:pStyle w:val="Compact"/>
              <w:jc w:val="left"/>
            </w:pPr>
            <w:r>
              <w:t xml:space="preserve">—</w:t>
            </w:r>
          </w:p>
        </w:tc>
      </w:tr>
      <w:tr>
        <w:tc>
          <w:tcPr/>
          <w:p>
            <w:pPr>
              <w:pStyle w:val="Compact"/>
              <w:jc w:val="left"/>
            </w:pPr>
            <w:r>
              <w:rPr>
                <w:bCs/>
                <w:b/>
              </w:rPr>
              <w:t xml:space="preserve">CDCM</w:t>
            </w:r>
          </w:p>
        </w:tc>
        <w:tc>
          <w:tcPr/>
          <w:p>
            <w:pPr>
              <w:pStyle w:val="Compact"/>
              <w:jc w:val="left"/>
            </w:pPr>
            <w:r>
              <w:t xml:space="preserve">Context-Contingent Digital Capability Model</w:t>
            </w:r>
          </w:p>
        </w:tc>
        <w:tc>
          <w:tcPr/>
          <w:p>
            <w:pPr>
              <w:pStyle w:val="Compact"/>
              <w:jc w:val="left"/>
            </w:pPr>
            <w:r>
              <w:t xml:space="preserve">Mô hình năng lực số phụ thuộc bối cảnh</w:t>
            </w:r>
          </w:p>
        </w:tc>
      </w:tr>
      <w:tr>
        <w:tc>
          <w:tcPr/>
          <w:p>
            <w:pPr>
              <w:pStyle w:val="Compact"/>
              <w:jc w:val="left"/>
            </w:pPr>
            <w:r>
              <w:rPr>
                <w:bCs/>
                <w:b/>
              </w:rPr>
              <w:t xml:space="preserve">CEE</w:t>
            </w:r>
          </w:p>
        </w:tc>
        <w:tc>
          <w:tcPr/>
          <w:p>
            <w:pPr>
              <w:pStyle w:val="Compact"/>
              <w:jc w:val="left"/>
            </w:pPr>
            <w:r>
              <w:t xml:space="preserve">Central and Eastern Europe</w:t>
            </w:r>
          </w:p>
        </w:tc>
        <w:tc>
          <w:tcPr/>
          <w:p>
            <w:pPr>
              <w:pStyle w:val="Compact"/>
              <w:jc w:val="left"/>
            </w:pPr>
            <w:r>
              <w:t xml:space="preserve">Trung và Đông Âu</w:t>
            </w:r>
          </w:p>
        </w:tc>
      </w:tr>
      <w:tr>
        <w:tc>
          <w:tcPr/>
          <w:p>
            <w:pPr>
              <w:pStyle w:val="Compact"/>
              <w:jc w:val="left"/>
            </w:pPr>
            <w:r>
              <w:rPr>
                <w:bCs/>
                <w:b/>
              </w:rPr>
              <w:t xml:space="preserve">CPTPP</w:t>
            </w:r>
          </w:p>
        </w:tc>
        <w:tc>
          <w:tcPr/>
          <w:p>
            <w:pPr>
              <w:pStyle w:val="Compact"/>
              <w:jc w:val="left"/>
            </w:pPr>
            <w:r>
              <w:t xml:space="preserve">Comprehensive and Progressive Agreement for Trans-Pacific Partnership</w:t>
            </w:r>
          </w:p>
        </w:tc>
        <w:tc>
          <w:tcPr/>
          <w:p>
            <w:pPr>
              <w:pStyle w:val="Compact"/>
              <w:jc w:val="left"/>
            </w:pPr>
            <w:r>
              <w:t xml:space="preserve">Hiệp định Đối tác Toàn diện và Tiến bộ xuyên Thái Bình Dương</w:t>
            </w:r>
          </w:p>
        </w:tc>
      </w:tr>
      <w:tr>
        <w:tc>
          <w:tcPr/>
          <w:p>
            <w:pPr>
              <w:pStyle w:val="Compact"/>
              <w:jc w:val="left"/>
            </w:pPr>
            <w:r>
              <w:rPr>
                <w:bCs/>
                <w:b/>
              </w:rPr>
              <w:t xml:space="preserve">CTU</w:t>
            </w:r>
          </w:p>
        </w:tc>
        <w:tc>
          <w:tcPr/>
          <w:p>
            <w:pPr>
              <w:pStyle w:val="Compact"/>
              <w:jc w:val="left"/>
            </w:pPr>
            <w:r>
              <w:t xml:space="preserve">Can Tho University</w:t>
            </w:r>
          </w:p>
        </w:tc>
        <w:tc>
          <w:tcPr/>
          <w:p>
            <w:pPr>
              <w:pStyle w:val="Compact"/>
              <w:jc w:val="left"/>
            </w:pPr>
            <w:r>
              <w:t xml:space="preserve">Trường Đại học Cần Thơ</w:t>
            </w:r>
          </w:p>
        </w:tc>
      </w:tr>
      <w:tr>
        <w:tc>
          <w:tcPr/>
          <w:p>
            <w:pPr>
              <w:pStyle w:val="Compact"/>
              <w:jc w:val="left"/>
            </w:pPr>
            <w:r>
              <w:rPr>
                <w:bCs/>
                <w:b/>
              </w:rPr>
              <w:t xml:space="preserve">DAI</w:t>
            </w:r>
          </w:p>
        </w:tc>
        <w:tc>
          <w:tcPr/>
          <w:p>
            <w:pPr>
              <w:pStyle w:val="Compact"/>
              <w:jc w:val="left"/>
            </w:pPr>
            <w:r>
              <w:t xml:space="preserve">Digital Adoption Index</w:t>
            </w:r>
          </w:p>
        </w:tc>
        <w:tc>
          <w:tcPr/>
          <w:p>
            <w:pPr>
              <w:pStyle w:val="Compact"/>
              <w:jc w:val="left"/>
            </w:pPr>
            <w:r>
              <w:t xml:space="preserve">Chỉ số năng lực số</w:t>
            </w:r>
          </w:p>
        </w:tc>
      </w:tr>
      <w:tr>
        <w:tc>
          <w:tcPr/>
          <w:p>
            <w:pPr>
              <w:pStyle w:val="Compact"/>
              <w:jc w:val="left"/>
            </w:pPr>
            <w:r>
              <w:rPr>
                <w:bCs/>
                <w:b/>
              </w:rPr>
              <w:t xml:space="preserve">EAP</w:t>
            </w:r>
          </w:p>
        </w:tc>
        <w:tc>
          <w:tcPr/>
          <w:p>
            <w:pPr>
              <w:pStyle w:val="Compact"/>
              <w:jc w:val="left"/>
            </w:pPr>
            <w:r>
              <w:t xml:space="preserve">East Asia and Pacific (World Bank region)</w:t>
            </w:r>
          </w:p>
        </w:tc>
        <w:tc>
          <w:tcPr/>
          <w:p>
            <w:pPr>
              <w:pStyle w:val="Compact"/>
              <w:jc w:val="left"/>
            </w:pPr>
            <w:r>
              <w:t xml:space="preserve">Đông Á và Thái Bình Dương</w:t>
            </w:r>
          </w:p>
        </w:tc>
      </w:tr>
      <w:tr>
        <w:tc>
          <w:tcPr/>
          <w:p>
            <w:pPr>
              <w:pStyle w:val="Compact"/>
              <w:jc w:val="left"/>
            </w:pPr>
            <w:r>
              <w:rPr>
                <w:bCs/>
                <w:b/>
              </w:rPr>
              <w:t xml:space="preserve">EPS</w:t>
            </w:r>
          </w:p>
        </w:tc>
        <w:tc>
          <w:tcPr/>
          <w:p>
            <w:pPr>
              <w:pStyle w:val="Compact"/>
              <w:jc w:val="left"/>
            </w:pPr>
            <w:r>
              <w:t xml:space="preserve">Employment Permit System (Korea)</w:t>
            </w:r>
          </w:p>
        </w:tc>
        <w:tc>
          <w:tcPr/>
          <w:p>
            <w:pPr>
              <w:pStyle w:val="Compact"/>
              <w:jc w:val="left"/>
            </w:pPr>
            <w:r>
              <w:t xml:space="preserve">Hệ thống cấp phép lao động của Hàn Quốc</w:t>
            </w:r>
          </w:p>
        </w:tc>
      </w:tr>
      <w:tr>
        <w:tc>
          <w:tcPr/>
          <w:p>
            <w:pPr>
              <w:pStyle w:val="Compact"/>
              <w:jc w:val="left"/>
            </w:pPr>
            <w:r>
              <w:rPr>
                <w:bCs/>
                <w:b/>
              </w:rP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rPr>
                <w:bCs/>
                <w:b/>
              </w:rPr>
              <w:t xml:space="preserve">FE</w:t>
            </w:r>
          </w:p>
        </w:tc>
        <w:tc>
          <w:tcPr/>
          <w:p>
            <w:pPr>
              <w:pStyle w:val="Compact"/>
              <w:jc w:val="left"/>
            </w:pPr>
            <w:r>
              <w:t xml:space="preserve">Fixed Effects</w:t>
            </w:r>
          </w:p>
        </w:tc>
        <w:tc>
          <w:tcPr/>
          <w:p>
            <w:pPr>
              <w:pStyle w:val="Compact"/>
              <w:jc w:val="left"/>
            </w:pPr>
            <w:r>
              <w:t xml:space="preserve">Hiệu ứng cố định</w:t>
            </w:r>
          </w:p>
        </w:tc>
      </w:tr>
      <w:tr>
        <w:tc>
          <w:tcPr/>
          <w:p>
            <w:pPr>
              <w:pStyle w:val="Compact"/>
              <w:jc w:val="left"/>
            </w:pPr>
            <w:r>
              <w:rPr>
                <w:bCs/>
                <w:b/>
              </w:rPr>
              <w:t xml:space="preserve">FSTS</w:t>
            </w:r>
          </w:p>
        </w:tc>
        <w:tc>
          <w:tcPr/>
          <w:p>
            <w:pPr>
              <w:pStyle w:val="Compact"/>
              <w:jc w:val="left"/>
            </w:pPr>
            <w:r>
              <w:t xml:space="preserve">Foreign Sales to Total Sales</w:t>
            </w:r>
          </w:p>
        </w:tc>
        <w:tc>
          <w:tcPr/>
          <w:p>
            <w:pPr>
              <w:pStyle w:val="Compact"/>
              <w:jc w:val="left"/>
            </w:pPr>
            <w:r>
              <w:t xml:space="preserve">Tỷ lệ doanh số quốc tế trên tổng doanh số</w:t>
            </w:r>
          </w:p>
        </w:tc>
      </w:tr>
      <w:tr>
        <w:tc>
          <w:tcPr/>
          <w:p>
            <w:pPr>
              <w:pStyle w:val="Compact"/>
              <w:jc w:val="left"/>
            </w:pPr>
            <w:r>
              <w:rPr>
                <w:bCs/>
                <w:b/>
              </w:rP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rPr>
                <w:bCs/>
                <w:b/>
              </w:rP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rPr>
                <w:bCs/>
                <w:b/>
              </w:rP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rPr>
                <w:bCs/>
                <w:b/>
              </w:rPr>
              <w:t xml:space="preserve">HHI</w:t>
            </w:r>
          </w:p>
        </w:tc>
        <w:tc>
          <w:tcPr/>
          <w:p>
            <w:pPr>
              <w:pStyle w:val="Compact"/>
              <w:jc w:val="left"/>
            </w:pPr>
            <w:r>
              <w:t xml:space="preserve">Herfindahl-Hirschman Index</w:t>
            </w:r>
          </w:p>
        </w:tc>
        <w:tc>
          <w:tcPr/>
          <w:p>
            <w:pPr>
              <w:pStyle w:val="Compact"/>
              <w:jc w:val="left"/>
            </w:pPr>
            <w:r>
              <w:t xml:space="preserve">Chỉ số đo mức độ tập trung thị trường</w:t>
            </w:r>
          </w:p>
        </w:tc>
      </w:tr>
      <w:tr>
        <w:tc>
          <w:tcPr/>
          <w:p>
            <w:pPr>
              <w:pStyle w:val="Compact"/>
              <w:jc w:val="left"/>
            </w:pPr>
            <w:r>
              <w:rPr>
                <w:bCs/>
                <w:b/>
              </w:rPr>
              <w:t xml:space="preserve">IB</w:t>
            </w:r>
          </w:p>
        </w:tc>
        <w:tc>
          <w:tcPr/>
          <w:p>
            <w:pPr>
              <w:pStyle w:val="Compact"/>
              <w:jc w:val="left"/>
            </w:pPr>
            <w:r>
              <w:t xml:space="preserve">International Business</w:t>
            </w:r>
          </w:p>
        </w:tc>
        <w:tc>
          <w:tcPr/>
          <w:p>
            <w:pPr>
              <w:pStyle w:val="Compact"/>
              <w:jc w:val="left"/>
            </w:pPr>
            <w:r>
              <w:t xml:space="preserve">Kinh doanh quốc tế</w:t>
            </w:r>
          </w:p>
        </w:tc>
      </w:tr>
      <w:tr>
        <w:tc>
          <w:tcPr/>
          <w:p>
            <w:pPr>
              <w:pStyle w:val="Compact"/>
              <w:jc w:val="left"/>
            </w:pPr>
            <w:r>
              <w:rPr>
                <w:bCs/>
                <w:b/>
              </w:rP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rPr>
                <w:bCs/>
                <w:b/>
              </w:rPr>
              <w:t xml:space="preserve">ICT</w:t>
            </w:r>
          </w:p>
        </w:tc>
        <w:tc>
          <w:tcPr/>
          <w:p>
            <w:pPr>
              <w:pStyle w:val="Compact"/>
              <w:jc w:val="left"/>
            </w:pPr>
            <w:r>
              <w:t xml:space="preserve">Information and Communications Technology</w:t>
            </w:r>
          </w:p>
        </w:tc>
        <w:tc>
          <w:tcPr/>
          <w:p>
            <w:pPr>
              <w:pStyle w:val="Compact"/>
              <w:jc w:val="left"/>
            </w:pPr>
            <w:r>
              <w:t xml:space="preserve">Công nghệ thông tin và truyền thông</w:t>
            </w:r>
          </w:p>
        </w:tc>
      </w:tr>
      <w:tr>
        <w:tc>
          <w:tcPr/>
          <w:p>
            <w:pPr>
              <w:pStyle w:val="Compact"/>
              <w:jc w:val="left"/>
            </w:pPr>
            <w:r>
              <w:rPr>
                <w:bCs/>
                <w:b/>
              </w:rPr>
              <w:t xml:space="preserve">IFC</w:t>
            </w:r>
          </w:p>
        </w:tc>
        <w:tc>
          <w:tcPr/>
          <w:p>
            <w:pPr>
              <w:pStyle w:val="Compact"/>
              <w:jc w:val="left"/>
            </w:pPr>
            <w:r>
              <w:t xml:space="preserve">International Finance Corporation</w:t>
            </w:r>
          </w:p>
        </w:tc>
        <w:tc>
          <w:tcPr/>
          <w:p>
            <w:pPr>
              <w:pStyle w:val="Compact"/>
              <w:jc w:val="left"/>
            </w:pPr>
            <w:r>
              <w:t xml:space="preserve">Tổng công ty Tài chính Quốc tế</w:t>
            </w:r>
          </w:p>
        </w:tc>
      </w:tr>
      <w:tr>
        <w:tc>
          <w:tcPr/>
          <w:p>
            <w:pPr>
              <w:pStyle w:val="Compact"/>
              <w:jc w:val="left"/>
            </w:pPr>
            <w:r>
              <w:rPr>
                <w:bCs/>
                <w:b/>
              </w:rPr>
              <w:t xml:space="preserve">IJOEM</w:t>
            </w:r>
          </w:p>
        </w:tc>
        <w:tc>
          <w:tcPr/>
          <w:p>
            <w:pPr>
              <w:pStyle w:val="Compact"/>
              <w:jc w:val="left"/>
            </w:pPr>
            <w:r>
              <w:t xml:space="preserve">International Journal of Emerging Markets</w:t>
            </w:r>
          </w:p>
        </w:tc>
        <w:tc>
          <w:tcPr/>
          <w:p>
            <w:pPr>
              <w:pStyle w:val="Compact"/>
              <w:jc w:val="left"/>
            </w:pPr>
            <w:r>
              <w:t xml:space="preserve">—</w:t>
            </w:r>
          </w:p>
        </w:tc>
      </w:tr>
      <w:tr>
        <w:tc>
          <w:tcPr/>
          <w:p>
            <w:pPr>
              <w:pStyle w:val="Compact"/>
              <w:jc w:val="left"/>
            </w:pPr>
            <w:r>
              <w:rPr>
                <w:bCs/>
                <w:b/>
              </w:rP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rPr>
                <w:bCs/>
                <w:b/>
              </w:rP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rPr>
                <w:bCs/>
                <w:b/>
              </w:rPr>
              <w:t xml:space="preserve">ISIC Rev. 4</w:t>
            </w:r>
          </w:p>
        </w:tc>
        <w:tc>
          <w:tcPr/>
          <w:p>
            <w:pPr>
              <w:pStyle w:val="Compact"/>
              <w:jc w:val="left"/>
            </w:pPr>
            <w:r>
              <w:t xml:space="preserve">International Standard Industrial Classification, Revision 4</w:t>
            </w:r>
          </w:p>
        </w:tc>
        <w:tc>
          <w:tcPr/>
          <w:p>
            <w:pPr>
              <w:pStyle w:val="Compact"/>
              <w:jc w:val="left"/>
            </w:pPr>
            <w:r>
              <w:t xml:space="preserve">Phân loại công nghiệp tiêu chuẩn quốc tế phiên bản 4</w:t>
            </w:r>
          </w:p>
        </w:tc>
      </w:tr>
      <w:tr>
        <w:tc>
          <w:tcPr/>
          <w:p>
            <w:pPr>
              <w:pStyle w:val="Compact"/>
              <w:jc w:val="left"/>
            </w:pPr>
            <w:r>
              <w:rPr>
                <w:bCs/>
                <w:b/>
              </w:rPr>
              <w:t xml:space="preserve">IV / 2SLS</w:t>
            </w:r>
          </w:p>
        </w:tc>
        <w:tc>
          <w:tcPr/>
          <w:p>
            <w:pPr>
              <w:pStyle w:val="Compact"/>
              <w:jc w:val="left"/>
            </w:pPr>
            <w:r>
              <w:t xml:space="preserve">Instrumental Variable / Two-Stage Least Squares</w:t>
            </w:r>
          </w:p>
        </w:tc>
        <w:tc>
          <w:tcPr/>
          <w:p>
            <w:pPr>
              <w:pStyle w:val="Compact"/>
              <w:jc w:val="left"/>
            </w:pPr>
            <w:r>
              <w:t xml:space="preserve">Biến công cụ / Bình phương nhỏ nhất hai bước</w:t>
            </w:r>
          </w:p>
        </w:tc>
      </w:tr>
      <w:tr>
        <w:tc>
          <w:tcPr/>
          <w:p>
            <w:pPr>
              <w:pStyle w:val="Compact"/>
              <w:jc w:val="left"/>
            </w:pPr>
            <w:r>
              <w:rPr>
                <w:bCs/>
                <w:b/>
              </w:rP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rPr>
                <w:bCs/>
                <w:b/>
              </w:rPr>
              <w:t xml:space="preserve">MFN</w:t>
            </w:r>
          </w:p>
        </w:tc>
        <w:tc>
          <w:tcPr/>
          <w:p>
            <w:pPr>
              <w:pStyle w:val="Compact"/>
              <w:jc w:val="left"/>
            </w:pPr>
            <w:r>
              <w:t xml:space="preserve">Most-Favored-Nation</w:t>
            </w:r>
          </w:p>
        </w:tc>
        <w:tc>
          <w:tcPr/>
          <w:p>
            <w:pPr>
              <w:pStyle w:val="Compact"/>
              <w:jc w:val="left"/>
            </w:pPr>
            <w:r>
              <w:t xml:space="preserve">Điều khoản tối huệ quốc</w:t>
            </w:r>
          </w:p>
        </w:tc>
      </w:tr>
      <w:tr>
        <w:tc>
          <w:tcPr/>
          <w:p>
            <w:pPr>
              <w:pStyle w:val="Compact"/>
              <w:jc w:val="left"/>
            </w:pPr>
            <w:r>
              <w:rPr>
                <w:bCs/>
                <w:b/>
              </w:rPr>
              <w:t xml:space="preserve">MIRAB</w:t>
            </w:r>
          </w:p>
        </w:tc>
        <w:tc>
          <w:tcPr/>
          <w:p>
            <w:pPr>
              <w:pStyle w:val="Compact"/>
              <w:jc w:val="left"/>
            </w:pPr>
            <w:r>
              <w:t xml:space="preserve">Migration, Remittances, Aid, and Bureaucracy</w:t>
            </w:r>
          </w:p>
        </w:tc>
        <w:tc>
          <w:tcPr/>
          <w:p>
            <w:pPr>
              <w:pStyle w:val="Compact"/>
              <w:jc w:val="left"/>
            </w:pPr>
            <w:r>
              <w:t xml:space="preserve">Mô hình kinh tế di cư–kiều hối–viện trợ–bộ máy hành chính</w:t>
            </w:r>
          </w:p>
        </w:tc>
      </w:tr>
      <w:tr>
        <w:tc>
          <w:tcPr/>
          <w:p>
            <w:pPr>
              <w:pStyle w:val="Compact"/>
              <w:jc w:val="left"/>
            </w:pPr>
            <w:r>
              <w:rPr>
                <w:bCs/>
                <w:b/>
              </w:rPr>
              <w:t xml:space="preserve">MIR</w:t>
            </w:r>
          </w:p>
        </w:tc>
        <w:tc>
          <w:tcPr/>
          <w:p>
            <w:pPr>
              <w:pStyle w:val="Compact"/>
              <w:jc w:val="left"/>
            </w:pPr>
            <w:r>
              <w:t xml:space="preserve">Management International Review</w:t>
            </w:r>
          </w:p>
        </w:tc>
        <w:tc>
          <w:tcPr/>
          <w:p>
            <w:pPr>
              <w:pStyle w:val="Compact"/>
              <w:jc w:val="left"/>
            </w:pPr>
            <w:r>
              <w:t xml:space="preserve">Tạp chí Quản trị Quốc tế</w:t>
            </w:r>
          </w:p>
        </w:tc>
      </w:tr>
      <w:tr>
        <w:tc>
          <w:tcPr/>
          <w:p>
            <w:pPr>
              <w:pStyle w:val="Compact"/>
              <w:jc w:val="left"/>
            </w:pPr>
            <w:r>
              <w:rPr>
                <w:bCs/>
                <w:b/>
              </w:rP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rPr>
                <w:bCs/>
                <w:b/>
              </w:rPr>
              <w:t xml:space="preserve">NCS</w:t>
            </w:r>
          </w:p>
        </w:tc>
        <w:tc>
          <w:tcPr/>
          <w:p>
            <w:pPr>
              <w:pStyle w:val="Compact"/>
              <w:jc w:val="left"/>
            </w:pPr>
            <w:r>
              <w:t xml:space="preserve">Nghiên cứu sinh</w:t>
            </w:r>
          </w:p>
        </w:tc>
        <w:tc>
          <w:tcPr/>
          <w:p>
            <w:pPr>
              <w:pStyle w:val="Compact"/>
              <w:jc w:val="left"/>
            </w:pPr>
            <w:r>
              <w:t xml:space="preserve">PhD candidate</w:t>
            </w:r>
          </w:p>
        </w:tc>
      </w:tr>
      <w:tr>
        <w:tc>
          <w:tcPr/>
          <w:p>
            <w:pPr>
              <w:pStyle w:val="Compact"/>
              <w:jc w:val="left"/>
            </w:pPr>
            <w:r>
              <w:rPr>
                <w:bCs/>
                <w:b/>
              </w:rPr>
              <w:t xml:space="preserve">OLI</w:t>
            </w:r>
          </w:p>
        </w:tc>
        <w:tc>
          <w:tcPr/>
          <w:p>
            <w:pPr>
              <w:pStyle w:val="Compact"/>
              <w:jc w:val="left"/>
            </w:pPr>
            <w:r>
              <w:t xml:space="preserve">Ownership-Location-Internalization (Dunning)</w:t>
            </w:r>
          </w:p>
        </w:tc>
        <w:tc>
          <w:tcPr/>
          <w:p>
            <w:pPr>
              <w:pStyle w:val="Compact"/>
              <w:jc w:val="left"/>
            </w:pPr>
            <w:r>
              <w:t xml:space="preserve">Khung lý thuyết Sở hữu–Địa điểm–Nội bộ hóa</w:t>
            </w:r>
          </w:p>
        </w:tc>
      </w:tr>
      <w:tr>
        <w:tc>
          <w:tcPr/>
          <w:p>
            <w:pPr>
              <w:pStyle w:val="Compact"/>
              <w:jc w:val="left"/>
            </w:pPr>
            <w:r>
              <w:rPr>
                <w:bCs/>
                <w:b/>
              </w:rP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rPr>
                <w:bCs/>
                <w:b/>
              </w:rPr>
              <w:t xml:space="preserve">PICS3</w:t>
            </w:r>
          </w:p>
        </w:tc>
        <w:tc>
          <w:tcPr/>
          <w:p>
            <w:pPr>
              <w:pStyle w:val="Compact"/>
              <w:jc w:val="left"/>
            </w:pPr>
            <w:r>
              <w:t xml:space="preserve">Private Investment and Climate Survey 3rd gen. (WBES schema 2009–2012)</w:t>
            </w:r>
          </w:p>
        </w:tc>
        <w:tc>
          <w:tcPr/>
          <w:p>
            <w:pPr>
              <w:pStyle w:val="Compact"/>
              <w:jc w:val="left"/>
            </w:pPr>
            <w:r>
              <w:t xml:space="preserve">Lược đồ bảng hỏi WBES giai đoạn 2009–2012</w:t>
            </w:r>
          </w:p>
        </w:tc>
      </w:tr>
      <w:tr>
        <w:tc>
          <w:tcPr/>
          <w:p>
            <w:pPr>
              <w:pStyle w:val="Compact"/>
              <w:jc w:val="left"/>
            </w:pPr>
            <w:r>
              <w:rPr>
                <w:bCs/>
                <w:b/>
              </w:rPr>
              <w:t xml:space="preserve">PICs</w:t>
            </w:r>
          </w:p>
        </w:tc>
        <w:tc>
          <w:tcPr/>
          <w:p>
            <w:pPr>
              <w:pStyle w:val="Compact"/>
              <w:jc w:val="left"/>
            </w:pPr>
            <w:r>
              <w:t xml:space="preserve">Pacific Island Countries</w:t>
            </w:r>
          </w:p>
        </w:tc>
        <w:tc>
          <w:tcPr/>
          <w:p>
            <w:pPr>
              <w:pStyle w:val="Compact"/>
              <w:jc w:val="left"/>
            </w:pPr>
            <w:r>
              <w:t xml:space="preserve">Quốc đảo Thái Bình Dương</w:t>
            </w:r>
          </w:p>
        </w:tc>
      </w:tr>
      <w:tr>
        <w:tc>
          <w:tcPr/>
          <w:p>
            <w:pPr>
              <w:pStyle w:val="Compact"/>
              <w:jc w:val="left"/>
            </w:pPr>
            <w:r>
              <w:rPr>
                <w:bCs/>
                <w:b/>
              </w:rPr>
              <w:t xml:space="preserve">PLMS</w:t>
            </w:r>
          </w:p>
        </w:tc>
        <w:tc>
          <w:tcPr/>
          <w:p>
            <w:pPr>
              <w:pStyle w:val="Compact"/>
              <w:jc w:val="left"/>
            </w:pPr>
            <w:r>
              <w:t xml:space="preserve">Pacific Labour Mobility Scheme (Australia)</w:t>
            </w:r>
          </w:p>
        </w:tc>
        <w:tc>
          <w:tcPr/>
          <w:p>
            <w:pPr>
              <w:pStyle w:val="Compact"/>
              <w:jc w:val="left"/>
            </w:pPr>
            <w:r>
              <w:t xml:space="preserve">Chương trình lao động Thái Bình Dương (Australia)</w:t>
            </w:r>
          </w:p>
        </w:tc>
      </w:tr>
      <w:tr>
        <w:tc>
          <w:tcPr/>
          <w:p>
            <w:pPr>
              <w:pStyle w:val="Compact"/>
              <w:jc w:val="left"/>
            </w:pPr>
            <w:r>
              <w:rPr>
                <w:bCs/>
                <w:b/>
              </w:rPr>
              <w:t xml:space="preserve">QTKD</w:t>
            </w:r>
          </w:p>
        </w:tc>
        <w:tc>
          <w:tcPr/>
          <w:p>
            <w:pPr>
              <w:pStyle w:val="Compact"/>
              <w:jc w:val="left"/>
            </w:pPr>
            <w:r>
              <w:t xml:space="preserve">Quản trị kinh doanh</w:t>
            </w:r>
          </w:p>
        </w:tc>
        <w:tc>
          <w:tcPr/>
          <w:p>
            <w:pPr>
              <w:pStyle w:val="Compact"/>
              <w:jc w:val="left"/>
            </w:pPr>
            <w:r>
              <w:t xml:space="preserve">Business Administration</w:t>
            </w:r>
          </w:p>
        </w:tc>
      </w:tr>
      <w:tr>
        <w:tc>
          <w:tcPr/>
          <w:p>
            <w:pPr>
              <w:pStyle w:val="Compact"/>
              <w:jc w:val="left"/>
            </w:pPr>
            <w:r>
              <w:rPr>
                <w:bCs/>
                <w:b/>
              </w:rPr>
              <w:t xml:space="preserve">RCEP</w:t>
            </w:r>
          </w:p>
        </w:tc>
        <w:tc>
          <w:tcPr/>
          <w:p>
            <w:pPr>
              <w:pStyle w:val="Compact"/>
              <w:jc w:val="left"/>
            </w:pPr>
            <w:r>
              <w:t xml:space="preserve">Regional Comprehensive Economic Partnership</w:t>
            </w:r>
          </w:p>
        </w:tc>
        <w:tc>
          <w:tcPr/>
          <w:p>
            <w:pPr>
              <w:pStyle w:val="Compact"/>
              <w:jc w:val="left"/>
            </w:pPr>
            <w:r>
              <w:t xml:space="preserve">Hiệp định Đối tác Kinh tế Toàn diện Khu vực</w:t>
            </w:r>
          </w:p>
        </w:tc>
      </w:tr>
      <w:tr>
        <w:tc>
          <w:tcPr/>
          <w:p>
            <w:pPr>
              <w:pStyle w:val="Compact"/>
              <w:jc w:val="left"/>
            </w:pPr>
            <w:r>
              <w:rPr>
                <w:bCs/>
                <w:b/>
              </w:rPr>
              <w:t xml:space="preserve">RDT</w:t>
            </w:r>
          </w:p>
        </w:tc>
        <w:tc>
          <w:tcPr/>
          <w:p>
            <w:pPr>
              <w:pStyle w:val="Compact"/>
              <w:jc w:val="left"/>
            </w:pPr>
            <w:r>
              <w:t xml:space="preserve">Resource Diversion Trap</w:t>
            </w:r>
          </w:p>
        </w:tc>
        <w:tc>
          <w:tcPr/>
          <w:p>
            <w:pPr>
              <w:pStyle w:val="Compact"/>
              <w:jc w:val="left"/>
            </w:pPr>
            <w:r>
              <w:t xml:space="preserve">Bẫy chuyển hướng nguồn lực</w:t>
            </w:r>
          </w:p>
        </w:tc>
      </w:tr>
      <w:tr>
        <w:tc>
          <w:tcPr/>
          <w:p>
            <w:pPr>
              <w:pStyle w:val="Compact"/>
              <w:jc w:val="left"/>
            </w:pPr>
            <w:r>
              <w:rPr>
                <w:bCs/>
                <w:b/>
              </w:rPr>
              <w:t xml:space="preserve">RE</w:t>
            </w:r>
          </w:p>
        </w:tc>
        <w:tc>
          <w:tcPr/>
          <w:p>
            <w:pPr>
              <w:pStyle w:val="Compact"/>
              <w:jc w:val="left"/>
            </w:pPr>
            <w:r>
              <w:t xml:space="preserve">Random Effects</w:t>
            </w:r>
          </w:p>
        </w:tc>
        <w:tc>
          <w:tcPr/>
          <w:p>
            <w:pPr>
              <w:pStyle w:val="Compact"/>
              <w:jc w:val="left"/>
            </w:pPr>
            <w:r>
              <w:t xml:space="preserve">Hiệu ứng ngẫu nhiên</w:t>
            </w:r>
          </w:p>
        </w:tc>
      </w:tr>
      <w:tr>
        <w:tc>
          <w:tcPr/>
          <w:p>
            <w:pPr>
              <w:pStyle w:val="Compact"/>
              <w:jc w:val="left"/>
            </w:pPr>
            <w:r>
              <w:rPr>
                <w:bCs/>
                <w:b/>
              </w:rPr>
              <w:t xml:space="preserve">ROA</w:t>
            </w:r>
          </w:p>
        </w:tc>
        <w:tc>
          <w:tcPr/>
          <w:p>
            <w:pPr>
              <w:pStyle w:val="Compact"/>
              <w:jc w:val="left"/>
            </w:pPr>
            <w:r>
              <w:t xml:space="preserve">Return on Assets</w:t>
            </w:r>
          </w:p>
        </w:tc>
        <w:tc>
          <w:tcPr/>
          <w:p>
            <w:pPr>
              <w:pStyle w:val="Compact"/>
              <w:jc w:val="left"/>
            </w:pPr>
            <w:r>
              <w:t xml:space="preserve">Tỷ suất sinh lời trên tài sản</w:t>
            </w:r>
          </w:p>
        </w:tc>
      </w:tr>
      <w:tr>
        <w:tc>
          <w:tcPr/>
          <w:p>
            <w:pPr>
              <w:pStyle w:val="Compact"/>
              <w:jc w:val="left"/>
            </w:pPr>
            <w:r>
              <w:rPr>
                <w:bCs/>
                <w:b/>
              </w:rPr>
              <w:t xml:space="preserve">RSE</w:t>
            </w:r>
          </w:p>
        </w:tc>
        <w:tc>
          <w:tcPr/>
          <w:p>
            <w:pPr>
              <w:pStyle w:val="Compact"/>
              <w:jc w:val="left"/>
            </w:pPr>
            <w:r>
              <w:t xml:space="preserve">Recognised Seasonal Employer (New Zealand)</w:t>
            </w:r>
          </w:p>
        </w:tc>
        <w:tc>
          <w:tcPr/>
          <w:p>
            <w:pPr>
              <w:pStyle w:val="Compact"/>
              <w:jc w:val="left"/>
            </w:pPr>
            <w:r>
              <w:t xml:space="preserve">Chương trình lao động theo mùa của New Zealand</w:t>
            </w:r>
          </w:p>
        </w:tc>
      </w:tr>
      <w:tr>
        <w:tc>
          <w:tcPr/>
          <w:p>
            <w:pPr>
              <w:pStyle w:val="Compact"/>
              <w:jc w:val="left"/>
            </w:pPr>
            <w:r>
              <w:rPr>
                <w:bCs/>
                <w:b/>
              </w:rP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rPr>
                <w:bCs/>
                <w:b/>
              </w:rPr>
              <w:t xml:space="preserve">SME</w:t>
            </w:r>
          </w:p>
        </w:tc>
        <w:tc>
          <w:tcPr/>
          <w:p>
            <w:pPr>
              <w:pStyle w:val="Compact"/>
              <w:jc w:val="left"/>
            </w:pPr>
            <w:r>
              <w:t xml:space="preserve">Small and Medium-sized Enterprise</w:t>
            </w:r>
          </w:p>
        </w:tc>
        <w:tc>
          <w:tcPr/>
          <w:p>
            <w:pPr>
              <w:pStyle w:val="Compact"/>
              <w:jc w:val="left"/>
            </w:pPr>
            <w:r>
              <w:t xml:space="preserve">Doanh nghiệp vừa và nhỏ</w:t>
            </w:r>
          </w:p>
        </w:tc>
      </w:tr>
      <w:tr>
        <w:tc>
          <w:tcPr/>
          <w:p>
            <w:pPr>
              <w:pStyle w:val="Compact"/>
              <w:jc w:val="left"/>
            </w:pPr>
            <w:r>
              <w:rPr>
                <w:bCs/>
                <w:b/>
              </w:rPr>
              <w:t xml:space="preserve">SOE</w:t>
            </w:r>
          </w:p>
        </w:tc>
        <w:tc>
          <w:tcPr/>
          <w:p>
            <w:pPr>
              <w:pStyle w:val="Compact"/>
              <w:jc w:val="left"/>
            </w:pPr>
            <w:r>
              <w:t xml:space="preserve">State-Owned Enterprise</w:t>
            </w:r>
          </w:p>
        </w:tc>
        <w:tc>
          <w:tcPr/>
          <w:p>
            <w:pPr>
              <w:pStyle w:val="Compact"/>
              <w:jc w:val="left"/>
            </w:pPr>
            <w:r>
              <w:t xml:space="preserve">Doanh nghiệp nhà nước</w:t>
            </w:r>
          </w:p>
        </w:tc>
      </w:tr>
      <w:tr>
        <w:tc>
          <w:tcPr/>
          <w:p>
            <w:pPr>
              <w:pStyle w:val="Compact"/>
              <w:jc w:val="left"/>
            </w:pPr>
            <w:r>
              <w:rPr>
                <w:bCs/>
                <w:b/>
              </w:rP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rPr>
                <w:bCs/>
                <w:b/>
              </w:rPr>
              <w:t xml:space="preserve">TFP</w:t>
            </w:r>
          </w:p>
        </w:tc>
        <w:tc>
          <w:tcPr/>
          <w:p>
            <w:pPr>
              <w:pStyle w:val="Compact"/>
              <w:jc w:val="left"/>
            </w:pPr>
            <w:r>
              <w:t xml:space="preserve">Total Factor Productivity</w:t>
            </w:r>
          </w:p>
        </w:tc>
        <w:tc>
          <w:tcPr/>
          <w:p>
            <w:pPr>
              <w:pStyle w:val="Compact"/>
              <w:jc w:val="left"/>
            </w:pPr>
            <w:r>
              <w:t xml:space="preserve">Năng suất nhân tố tổng hợp</w:t>
            </w:r>
          </w:p>
        </w:tc>
      </w:tr>
      <w:tr>
        <w:tc>
          <w:tcPr/>
          <w:p>
            <w:pPr>
              <w:pStyle w:val="Compact"/>
              <w:jc w:val="left"/>
            </w:pPr>
            <w:r>
              <w:rPr>
                <w:bCs/>
                <w:b/>
              </w:rPr>
              <w:t xml:space="preserve">TP</w:t>
            </w:r>
          </w:p>
        </w:tc>
        <w:tc>
          <w:tcPr/>
          <w:p>
            <w:pPr>
              <w:pStyle w:val="Compact"/>
              <w:jc w:val="left"/>
            </w:pPr>
            <w:r>
              <w:t xml:space="preserve">Turning Point</w:t>
            </w:r>
          </w:p>
        </w:tc>
        <w:tc>
          <w:tcPr/>
          <w:p>
            <w:pPr>
              <w:pStyle w:val="Compact"/>
              <w:jc w:val="left"/>
            </w:pPr>
            <w:r>
              <w:t xml:space="preserve">Điểm uốn</w:t>
            </w:r>
          </w:p>
        </w:tc>
      </w:tr>
      <w:tr>
        <w:tc>
          <w:tcPr/>
          <w:p>
            <w:pPr>
              <w:pStyle w:val="Compact"/>
              <w:jc w:val="left"/>
            </w:pPr>
            <w:r>
              <w:rPr>
                <w:bCs/>
                <w:b/>
              </w:rPr>
              <w:t xml:space="preserve">VEFR</w:t>
            </w:r>
          </w:p>
        </w:tc>
        <w:tc>
          <w:tcPr/>
          <w:p>
            <w:pPr>
              <w:pStyle w:val="Compact"/>
              <w:jc w:val="left"/>
            </w:pPr>
            <w:r>
              <w:t xml:space="preserve">Vietnam Economic and Finance Review</w:t>
            </w:r>
          </w:p>
        </w:tc>
        <w:tc>
          <w:tcPr/>
          <w:p>
            <w:pPr>
              <w:pStyle w:val="Compact"/>
              <w:jc w:val="left"/>
            </w:pPr>
            <w:r>
              <w:t xml:space="preserve">Tạp chí Kinh tế và Tài chính Việt Nam</w:t>
            </w:r>
          </w:p>
        </w:tc>
      </w:tr>
      <w:tr>
        <w:tc>
          <w:tcPr/>
          <w:p>
            <w:pPr>
              <w:pStyle w:val="Compact"/>
              <w:jc w:val="left"/>
            </w:pPr>
            <w:r>
              <w:rPr>
                <w:bCs/>
                <w:b/>
              </w:rPr>
              <w:t xml:space="preserve">WB</w:t>
            </w:r>
          </w:p>
        </w:tc>
        <w:tc>
          <w:tcPr/>
          <w:p>
            <w:pPr>
              <w:pStyle w:val="Compact"/>
              <w:jc w:val="left"/>
            </w:pPr>
            <w:r>
              <w:t xml:space="preserve">World Bank</w:t>
            </w:r>
          </w:p>
        </w:tc>
        <w:tc>
          <w:tcPr/>
          <w:p>
            <w:pPr>
              <w:pStyle w:val="Compact"/>
              <w:jc w:val="left"/>
            </w:pPr>
            <w:r>
              <w:t xml:space="preserve">Ngân hàng Thế giới</w:t>
            </w:r>
          </w:p>
        </w:tc>
      </w:tr>
      <w:tr>
        <w:tc>
          <w:tcPr/>
          <w:p>
            <w:pPr>
              <w:pStyle w:val="Compact"/>
              <w:jc w:val="left"/>
            </w:pPr>
            <w:r>
              <w:rPr>
                <w:bCs/>
                <w:b/>
              </w:rPr>
              <w:t xml:space="preserve">WBES</w:t>
            </w:r>
          </w:p>
        </w:tc>
        <w:tc>
          <w:tcPr/>
          <w:p>
            <w:pPr>
              <w:pStyle w:val="Compact"/>
              <w:jc w:val="left"/>
            </w:pPr>
            <w:r>
              <w:t xml:space="preserve">World Bank Enterprise Surveys</w:t>
            </w:r>
          </w:p>
        </w:tc>
        <w:tc>
          <w:tcPr/>
          <w:p>
            <w:pPr>
              <w:pStyle w:val="Compact"/>
              <w:jc w:val="left"/>
            </w:pPr>
            <w:r>
              <w:t xml:space="preserve">Khảo sát Doanh nghiệp Ngân hàng Thế giới</w:t>
            </w:r>
          </w:p>
        </w:tc>
      </w:tr>
      <w:tr>
        <w:tc>
          <w:tcPr/>
          <w:p>
            <w:pPr>
              <w:pStyle w:val="Compact"/>
              <w:jc w:val="left"/>
            </w:pPr>
            <w:r>
              <w:rPr>
                <w:bCs/>
                <w:b/>
              </w:rPr>
              <w:t xml:space="preserve">WGI</w:t>
            </w:r>
          </w:p>
        </w:tc>
        <w:tc>
          <w:tcPr/>
          <w:p>
            <w:pPr>
              <w:pStyle w:val="Compact"/>
              <w:jc w:val="left"/>
            </w:pPr>
            <w:r>
              <w:t xml:space="preserve">World Governance Indicators</w:t>
            </w:r>
          </w:p>
        </w:tc>
        <w:tc>
          <w:tcPr/>
          <w:p>
            <w:pPr>
              <w:pStyle w:val="Compact"/>
              <w:jc w:val="left"/>
            </w:pPr>
            <w:r>
              <w:t xml:space="preserve">Chỉ số quản trị thế giới</w:t>
            </w:r>
          </w:p>
        </w:tc>
      </w:tr>
    </w:tbl>
    <w:p>
      <w:r>
        <w:pict>
          <v:rect style="width:0;height:1.5pt" o:hralign="center" o:hrstd="t" o:hr="t"/>
        </w:pict>
      </w:r>
    </w:p>
    <w:bookmarkEnd w:id="27"/>
    <w:bookmarkStart w:id="34" w:name="chương-1--giới-thiệu"/>
    <w:p>
      <w:pPr>
        <w:pStyle w:val="Heading2"/>
      </w:pPr>
      <w:r>
        <w:t xml:space="preserve">CHƯƠNG 1 — GIỚI THIỆU</w:t>
      </w:r>
    </w:p>
    <w:bookmarkStart w:id="28" w:name="X7d99df2d9d0c5141050eb9941026463f4c8ea2b"/>
    <w:p>
      <w:pPr>
        <w:pStyle w:val="Heading3"/>
      </w:pPr>
      <w:r>
        <w:t xml:space="preserve">1.1 Đặt vấn đề</w:t>
      </w:r>
    </w:p>
    <w:p>
      <w:pPr>
        <w:pStyle w:val="FirstParagraph"/>
      </w:pPr>
      <w:r>
        <w:t xml:space="preserve">Khu vực châu Á đã trở thành</w:t>
      </w:r>
      <w:r>
        <w:t xml:space="preserve"> </w:t>
      </w:r>
      <w:r>
        <w:rPr>
          <w:bCs/>
          <w:b/>
        </w:rPr>
        <w:t xml:space="preserve">động lực</w:t>
      </w:r>
      <w:r>
        <w:t xml:space="preserve"> </w:t>
      </w:r>
      <w:r>
        <w:t xml:space="preserve">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w:t>
      </w:r>
      <w:r>
        <w:t xml:space="preserve"> </w:t>
      </w:r>
      <w:r>
        <w:rPr>
          <w:bCs/>
          <w:b/>
        </w:rPr>
        <w:t xml:space="preserve">thịnh vượng</w:t>
      </w:r>
      <w:r>
        <w:t xml:space="preserve"> </w:t>
      </w:r>
      <w:r>
        <w:t xml:space="preserve">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 – 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April) điều chỉnh giảm tăng trưởng toàn cầu xuống 3,1% năm 2026 và giảm dự báo Saudi Arabia mạnh từ ~4,5% xuống 3,1% do giảm sản lượng dầu; ADB (2026, April) trong báo cáo</w:t>
      </w:r>
      <w:r>
        <w:t xml:space="preserve"> </w:t>
      </w:r>
      <w:r>
        <w:rPr>
          <w:iCs/>
          <w:i/>
        </w:rPr>
        <w:t xml:space="preserve">Asian Development Outlook April 2026: The Middle East Conflict Challenges Resilience in Asia and the Pacific</w:t>
      </w:r>
      <w:r>
        <w:t xml:space="preserve"> </w:t>
      </w:r>
      <w:r>
        <w:t xml:space="preserve">dự báo Pacific 3,4%, Đông Nam Á 4,7%, Việt Nam 7,0%.</w:t>
      </w:r>
      <w:r>
        <w:t xml:space="preserve"> </w:t>
      </w:r>
      <w:r>
        <w:rPr>
          <w:bCs/>
          <w:b/>
        </w:rPr>
        <w:t xml:space="preserve">Riêng Việt Nam, ADB (2026, April — Vietnam Economic Outlook) ghi nhận GDP lịch sử 2025 đạt 8,0%</w:t>
      </w:r>
      <w:r>
        <w:t xml:space="preserve"> </w:t>
      </w:r>
      <w:r>
        <w:t xml:space="preserve">— mức cao nhất khu vực Đông Nam Á — và cập nhật dự báo</w:t>
      </w:r>
      <w:r>
        <w:t xml:space="preserve"> </w:t>
      </w:r>
      <w:r>
        <w:rPr>
          <w:bCs/>
          <w:b/>
        </w:rPr>
        <w:t xml:space="preserve">7,2% (2026) → 7,0% (2027)</w:t>
      </w:r>
      <w:r>
        <w:t xml:space="preserve"> </w:t>
      </w:r>
      <w:r>
        <w:t xml:space="preserve">(đường giảm 8,0% → 7,2% → 7,0%, vượt mức bình quân ASEAN 4,6% và Đông Nam Á 4,7%), với động lực từ FDI commitment $2,4 tỷ qua 18 dự án chiến lược (fintech, năng lượng sạch, logistics), năng suất lao động dự phóng +5,1% giai đoạn 2026-2027 và FDI manufacturing tiến vào "higher-value" stage.</w:t>
      </w:r>
      <w:r>
        <w:t xml:space="preserve"> </w:t>
      </w:r>
      <w:r>
        <w:rPr>
          <w:bCs/>
          <w:b/>
        </w:rPr>
        <w:t xml:space="preserve">Lớp thứ bảy là bất định chính sách thuế quan Mỹ 2026</w:t>
      </w:r>
      <w:r>
        <w:t xml:space="preserve"> </w:t>
      </w:r>
      <w:r>
        <w:t xml:space="preserve">— Mỹ chiếm xấp xỉ</w:t>
      </w:r>
      <w:r>
        <w:t xml:space="preserve"> </w:t>
      </w:r>
      <w:r>
        <w:rPr>
          <w:bCs/>
          <w:b/>
        </w:rPr>
        <w:t xml:space="preserve">30% tổng kim ngạch xuất khẩu Việt Nam</w:t>
      </w:r>
      <w:r>
        <w:t xml:space="preserve"> </w:t>
      </w:r>
      <w:r>
        <w:t xml:space="preserve">(đối tác thương mại lớn nhất); thuế toàn cầu 10% tạm thời áp dụng đầu 2026 (nguy cơ tăng lên 15% trong nửa cuối năm) tạo áp lực kép lên doanh nghiệp xuất khẩu châu Á: (a)</w:t>
      </w:r>
      <w:r>
        <w:t xml:space="preserve"> </w:t>
      </w:r>
      <w:r>
        <w:rPr>
          <w:bCs/>
          <w:b/>
        </w:rPr>
        <w:t xml:space="preserve">front-loading effect</w:t>
      </w:r>
      <w:r>
        <w:t xml:space="preserve"> </w:t>
      </w:r>
      <w:r>
        <w:t xml:space="preserve">— đẩy nhanh giao hàng ngắn hạn nhằm tận dụng cửa sổ thuế thấp, boost doanh thu 2025 (8,0%) nhưng làm giảm đà tăng trưởng 2026-2027; (b)</w:t>
      </w:r>
      <w:r>
        <w:t xml:space="preserve"> </w:t>
      </w:r>
      <w:r>
        <w:rPr>
          <w:bCs/>
          <w:b/>
        </w:rPr>
        <w:t xml:space="preserve">trì hoãn đầu tư</w:t>
      </w:r>
      <w:r>
        <w:t xml:space="preserve"> </w:t>
      </w:r>
      <w:r>
        <w:t xml:space="preserve">do bất định chính sách (policy uncertainty) → cắt giảm CapEx + R&amp;D; (c)</w:t>
      </w:r>
      <w:r>
        <w:t xml:space="preserve"> </w:t>
      </w:r>
      <w:r>
        <w:rPr>
          <w:bCs/>
          <w:b/>
        </w:rPr>
        <w:t xml:space="preserve">phân hóa giữa tập đoàn lớn và SME</w:t>
      </w:r>
      <w:r>
        <w:t xml:space="preserve"> </w:t>
      </w:r>
      <w:r>
        <w:t xml:space="preserve">— tập đoàn lớn có khả năng hấp thụ tariff cost cao hơn (đa thị trường, hedging tài chính, chuỗi cung ứng đa lớp); SME chịu áp lực biên lợi nhuận và phải lựa chọn giữa hấp thụ cost vs chuyển giá khách hàng (NotebookLM, 2026</w:t>
      </w:r>
      <w:r>
        <w:t xml:space="preserve"> </w:t>
      </w:r>
      <w:r>
        <w:rPr>
          <w:iCs/>
          <w:i/>
        </w:rPr>
        <w:t xml:space="preserve">Tariff Mỹ + Vietnam Macro Deep + Zombie Firms</w:t>
      </w:r>
      <w:r>
        <w:t xml:space="preserve"> </w:t>
      </w:r>
      <w:r>
        <w:t xml:space="preserve">07/05/2026; ADB Vietnam Economic Outlook 2026). Bảy lớp bối cảnh này tác động không đồng đều đến các nhóm nền kinh tế châu Á.</w:t>
      </w:r>
    </w:p>
    <w:p>
      <w:pPr>
        <w:pStyle w:val="BodyText"/>
      </w:pPr>
      <w:r>
        <w:t xml:space="preserve">Trong bối cảnh đó, hệ thống thông tin về hiệu quả doanh nghiệp châu Á còn phân mảnh. World Bank Enterprise Surveys (WBES) là cơ sở dữ liệu vi mô tin cậy và có tính so sánh xuyên quốc gia tốt nhất hiện có (World Bank Enterprise Surveys, 2025). Đỗ và Phan (2026 — VEFR) đã mở rộng phạm vi WBES đến 17 nền kinh tế châu Á mới nổi với ~40.633 doanh nghiệp, ghi nhận pattern "</w:t>
      </w:r>
      <w:r>
        <w:rPr>
          <w:bCs/>
          <w:b/>
        </w:rPr>
        <w:t xml:space="preserve">hiệu ứng lá chắn số (digital shield effect)</w:t>
      </w:r>
      <w:r>
        <w:t xml:space="preserve">". Tuy nhiên, vẫn còn ít có tổng hợp xuyên 47 nền kinh tế trên giai đoạn dài 2009–2025 sau khi hài hòa ba thế hệ khung dữ liệu (PICS3, WBES Standardized, BREADY/BEE).</w:t>
      </w:r>
    </w:p>
    <w:p>
      <w:pPr>
        <w:pStyle w:val="BodyText"/>
      </w:pPr>
      <w:r>
        <w:t xml:space="preserve">Vì vậy, chuyên đề này lấp khoảng trống thực tiễn bằng việc cập nhật</w:t>
      </w:r>
      <w:r>
        <w:t xml:space="preserve"> </w:t>
      </w:r>
      <w:r>
        <w:rPr>
          <w:bCs/>
          <w:b/>
        </w:rPr>
        <w:t xml:space="preserve">pattern điển hình (stylized facts)</w:t>
      </w:r>
      <w:r>
        <w:t xml:space="preserve"> </w:t>
      </w:r>
      <w:r>
        <w:t xml:space="preserve">đa chiều về hiệu quả doanh nghiệp châu Á. Tổng hợp dữ liệu (pool)</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 Đây là phạm vi rộng nhất từng có cho nghiên cứu I→P trong văn liệu IB hiện hành. Năm 2025 có</w:t>
      </w:r>
      <w:r>
        <w:t xml:space="preserve"> </w:t>
      </w:r>
      <w:r>
        <w:rPr>
          <w:bCs/>
          <w:b/>
        </w:rPr>
        <w:t xml:space="preserve">14 đợt khảo sát với 17.107 doanh nghiệp</w:t>
      </w:r>
      <w:r>
        <w:t xml:space="preserve"> </w:t>
      </w:r>
      <w:r>
        <w:t xml:space="preserve">(gồm cả Kiribati 2025).</w:t>
      </w:r>
    </w:p>
    <w:p>
      <w:pPr>
        <w:pStyle w:val="BodyText"/>
      </w:pPr>
      <w:r>
        <w:rPr>
          <w:bCs/>
          <w:b/>
        </w:rPr>
        <w:t xml:space="preserve">Ẩn dụ Fiji vs Singapore</w:t>
      </w:r>
      <w:r>
        <w:t xml:space="preserve">: Trường hợp Fiji 2025 với tỷ lệ website 74,8%</w:t>
      </w:r>
      <w:r>
        <w:t xml:space="preserve"> </w:t>
      </w:r>
      <w:r>
        <w:rPr>
          <w:bCs/>
          <w:b/>
        </w:rPr>
        <w:t xml:space="preserve">vượt Singapore 66,1%</w:t>
      </w:r>
      <w:r>
        <w:t xml:space="preserve"> </w:t>
      </w:r>
      <w:r>
        <w:t xml:space="preserve">(xem Bảng 4.10 file 15) là minh họa rõ nhất cho ranh giới giữa "lý thuyết Uppsala vận hành ở điểm tối ưu" và "lý thuyết Uppsala bị biến dạng thành đường cong đảo ngược ở điều kiện biên". Đối với Fiji và 6 SIDS Pacific khác,</w:t>
      </w:r>
      <w:r>
        <w:t xml:space="preserve"> </w:t>
      </w:r>
      <w:r>
        <w:rPr>
          <w:bCs/>
          <w:b/>
        </w:rPr>
        <w:t xml:space="preserve">số hóa không phải công cụ tối ưu hóa chuỗi cung ứng mà là phương tiện sinh tồn — website không phải chiến lược marketing mà là cánh cửa duy nhất kết nối với thế giới</w:t>
      </w:r>
      <w:r>
        <w:t xml:space="preserve"> </w:t>
      </w:r>
      <w:r>
        <w:t xml:space="preserve">(NotebookLM, 2026</w:t>
      </w:r>
      <w:r>
        <w:t xml:space="preserve"> </w:t>
      </w:r>
      <w:r>
        <w:rPr>
          <w:iCs/>
          <w:i/>
        </w:rPr>
        <w:t xml:space="preserve">Bẫy đo lường số hóa Châu Á</w:t>
      </w:r>
      <w:r>
        <w:t xml:space="preserve">). Ẩn dụ này dẫn vào §2.6 (3 điều kiện cấu trúc của U-curve) và §5.7 (SIDS Pacific case file 16) — nơi điều kiện biên của lý thuyết Lu &amp; Beamish (2004) được thiết lập rõ ràng.</w:t>
      </w:r>
    </w:p>
    <w:bookmarkEnd w:id="28"/>
    <w:bookmarkStart w:id="29" w:name="X012475c43f7542007fcc3d21355a4e482bb8d09"/>
    <w:p>
      <w:pPr>
        <w:pStyle w:val="Heading3"/>
      </w:pPr>
      <w:r>
        <w:t xml:space="preserve">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boundary extension;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văn liệu hiện hành;</w:t>
      </w:r>
    </w:p>
    <w:p>
      <w:pPr>
        <w:numPr>
          <w:ilvl w:val="0"/>
          <w:numId w:val="1001"/>
        </w:numPr>
        <w:pStyle w:val="Compact"/>
      </w:pPr>
      <w:r>
        <w:t xml:space="preserve">Đề xuất khung phân loại 6 phân nhóm con ICRV cho 47 nền kinh tế (5 phân nhóm châu Á thuần + 1 phân nhóm boundary SIDS Pacific);</w:t>
      </w:r>
    </w:p>
    <w:p>
      <w:pPr>
        <w:numPr>
          <w:ilvl w:val="0"/>
          <w:numId w:val="1001"/>
        </w:numPr>
        <w:pStyle w:val="Compact"/>
      </w:pPr>
      <w:r>
        <w:t xml:space="preserve">Phân tích thực trạng đa chiều hiệu quả doanh nghiệp ở</w:t>
      </w:r>
      <w:r>
        <w:t xml:space="preserve"> </w:t>
      </w:r>
      <w:r>
        <w:rPr>
          <w:bCs/>
          <w:b/>
        </w:rPr>
        <w:t xml:space="preserve">41 nước châu Á (scope chính)</w:t>
      </w:r>
      <w:r>
        <w:t xml:space="preserve"> </w:t>
      </w:r>
      <w:r>
        <w:t xml:space="preserve">+ so sánh với 7 SIDS Pacific (boundary case);</w:t>
      </w:r>
    </w:p>
    <w:p>
      <w:pPr>
        <w:numPr>
          <w:ilvl w:val="0"/>
          <w:numId w:val="1001"/>
        </w:numPr>
        <w:pStyle w:val="Compact"/>
      </w:pPr>
      <w:r>
        <w:t xml:space="preserve">Nhận diện đặc điểm và yếu tố giải thích sơ bộ cho dị biệt hiệu quả giữa các phân nhóm thể chế và giữa các nhóm doanh nghiệp;</w:t>
      </w:r>
    </w:p>
    <w:p>
      <w:pPr>
        <w:numPr>
          <w:ilvl w:val="0"/>
          <w:numId w:val="1001"/>
        </w:numPr>
        <w:pStyle w:val="Compact"/>
      </w:pPr>
      <w:r>
        <w:t xml:space="preserve">Đề xuất khoảng trống thực tiễn để định hướng nghiên cứu tiếp theo.</w:t>
      </w:r>
    </w:p>
    <w:bookmarkEnd w:id="29"/>
    <w:bookmarkStart w:id="30" w:name="Xe563fa1990a777a08afe196c7fd775c01406ea2"/>
    <w:p>
      <w:pPr>
        <w:pStyle w:val="Heading3"/>
      </w:pPr>
      <w:r>
        <w:t xml:space="preserve">1.3 Phạm vi và đối tượng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Phân loại quy mô doanh nghiệp WBES chính thức</w:t>
      </w:r>
      <w:r>
        <w:t xml:space="preserve">: WBES sử dụng 4 nhóm quy mô tiêu chuẩn theo số lao động toàn thời gian + tạm thời:</w:t>
      </w:r>
      <w:r>
        <w:t xml:space="preserve"> </w:t>
      </w:r>
      <w:r>
        <w:rPr>
          <w:bCs/>
          <w:b/>
        </w:rPr>
        <w:t xml:space="preserve">Nhỏ (5-19 lao động)</w:t>
      </w:r>
      <w:r>
        <w:t xml:space="preserve">,</w:t>
      </w:r>
      <w:r>
        <w:t xml:space="preserve"> </w:t>
      </w:r>
      <w:r>
        <w:rPr>
          <w:bCs/>
          <w:b/>
        </w:rPr>
        <w:t xml:space="preserve">Vừa (20-99)</w:t>
      </w:r>
      <w:r>
        <w:t xml:space="preserve">,</w:t>
      </w:r>
      <w:r>
        <w:t xml:space="preserve"> </w:t>
      </w:r>
      <w:r>
        <w:rPr>
          <w:bCs/>
          <w:b/>
        </w:rPr>
        <w:t xml:space="preserve">Lớn (100+)</w:t>
      </w:r>
      <w:r>
        <w:t xml:space="preserve">,</w:t>
      </w:r>
      <w:r>
        <w:t xml:space="preserve"> </w:t>
      </w:r>
      <w:r>
        <w:rPr>
          <w:bCs/>
          <w:b/>
        </w:rPr>
        <w:t xml:space="preserve">Rất lớn (top 1% nền kinh tế)</w:t>
      </w:r>
      <w:r>
        <w:t xml:space="preserve">. Các kết quả mean/median trong CĐ1 sử dụng phân tầng này khi cần.</w:t>
      </w:r>
      <w:r>
        <w:t xml:space="preserve"> </w:t>
      </w:r>
      <w:r>
        <w:rPr>
          <w:bCs/>
          <w:b/>
        </w:rPr>
        <w:t xml:space="preserve">Bốn ngành loại trừ khỏi vũ trụ khảo sát WBES</w:t>
      </w:r>
      <w:r>
        <w:t xml:space="preserve">: tiện ích công cộng, dịch vụ chính phủ, chăm sóc sức khỏe và dịch vụ tài chính — vì các ngành này có cấu trúc thể chế đặc thù không phù hợp với khung phân tích doanh nghiệp tư nhân chính thức (cited World Bank, n.d. — Tài liệu tóm tắt chỉ số Enterprise Surveys; file 04 v2.5).</w:t>
      </w:r>
    </w:p>
    <w:p>
      <w:pPr>
        <w:pStyle w:val="BodyText"/>
      </w:pPr>
      <w:r>
        <w:rPr>
          <w:bCs/>
          <w:b/>
        </w:rPr>
        <w:t xml:space="preserve">Phạm vi không gian</w:t>
      </w:r>
      <w:r>
        <w:t xml:space="preserve">:</w:t>
      </w:r>
    </w:p>
    <w:p>
      <w:pPr>
        <w:pStyle w:val="BodyText"/>
      </w:pPr>
      <w:r>
        <w:rPr>
          <w:bCs/>
          <w:b/>
        </w:rPr>
        <w:t xml:space="preserve">A. Scope chính — 41 nước châu Á thuần</w:t>
      </w:r>
      <w:r>
        <w:t xml:space="preserve"> </w:t>
      </w:r>
      <w:r>
        <w:t xml:space="preserve">(theo tiêu đề luận án "Châu Á" trong Quyết định 4769/QĐ-ĐHCT 15/10/2024):</w:t>
      </w:r>
    </w:p>
    <w:p>
      <w:pPr>
        <w:numPr>
          <w:ilvl w:val="0"/>
          <w:numId w:val="1002"/>
        </w:numPr>
        <w:pStyle w:val="Compact"/>
      </w:pPr>
      <w:r>
        <w:rPr>
          <w:bCs/>
          <w:b/>
        </w:rPr>
        <w:t xml:space="preserve">(i) Advanced đổi mới sáng tạo dẫn dắt (innovation-driven, 5 nước)</w:t>
      </w:r>
      <w:r>
        <w:t xml:space="preserve">: Singapore, Hong Kong SAR, Hàn Quốc, Đài Loan, Israel.</w:t>
      </w:r>
    </w:p>
    <w:p>
      <w:pPr>
        <w:numPr>
          <w:ilvl w:val="0"/>
          <w:numId w:val="1002"/>
        </w:numPr>
        <w:pStyle w:val="Compact"/>
      </w:pPr>
      <w:r>
        <w:rPr>
          <w:bCs/>
          <w:b/>
        </w:rPr>
        <w:t xml:space="preserve">(ii) Advanced tài nguyên dẫn dắt (resource-driven, 5 nước)</w:t>
      </w:r>
      <w:r>
        <w:t xml:space="preserve">: Saudi Arabia, Qatar, Kuwait, Bahrain, Brunei.</w:t>
      </w:r>
    </w:p>
    <w:p>
      <w:pPr>
        <w:numPr>
          <w:ilvl w:val="0"/>
          <w:numId w:val="1002"/>
        </w:numPr>
        <w:pStyle w:val="Compact"/>
      </w:pPr>
      <w:r>
        <w:rPr>
          <w:bCs/>
          <w:b/>
        </w:rPr>
        <w:t xml:space="preserve">(iii) Upper-middle (6 nước)</w:t>
      </w:r>
      <w:r>
        <w:t xml:space="preserve">: Trung Quốc, Malaysia, Thái Lan, Kazakhstan, Armenia, Georgia.</w:t>
      </w:r>
    </w:p>
    <w:p>
      <w:pPr>
        <w:numPr>
          <w:ilvl w:val="0"/>
          <w:numId w:val="1002"/>
        </w:numPr>
        <w:pStyle w:val="Compact"/>
      </w:pPr>
      <w:r>
        <w:rPr>
          <w:bCs/>
          <w:b/>
        </w:rPr>
        <w:t xml:space="preserve">(iv) Emerging (7 nước)</w:t>
      </w:r>
      <w:r>
        <w:t xml:space="preserve">: Việt Nam, Indonesia, Philippines, Ấn Độ, Sri Lanka, Jordan, Mongolia.</w:t>
      </w:r>
    </w:p>
    <w:p>
      <w:pPr>
        <w:numPr>
          <w:ilvl w:val="0"/>
          <w:numId w:val="1002"/>
        </w:numPr>
        <w:pStyle w:val="Compact"/>
      </w:pPr>
      <w:r>
        <w:rPr>
          <w:bCs/>
          <w:b/>
        </w:rPr>
        <w:t xml:space="preserve">(v) Frontier (17 nước)</w:t>
      </w:r>
      <w:r>
        <w:t xml:space="preserve">: Bangladesh, Pakistan, Lào, Campuchia, Myanmar, Nepal, Bhutan, Maldives, Uzbekistan, Tajikistan, Kyrgyz Republic, Turkmenistan, Afghanistan, Timor-Leste, Iraq, Lebanon, Yemen.</w:t>
      </w:r>
    </w:p>
    <w:p>
      <w:pPr>
        <w:numPr>
          <w:ilvl w:val="0"/>
          <w:numId w:val="1002"/>
        </w:numPr>
        <w:pStyle w:val="Compact"/>
      </w:pPr>
      <w:r>
        <w:t xml:space="preserve">Cyprus được bao gồm trong nhóm Advanced (cụm Mediterranean — biên giới Đông – Tây Á về địa lý).</w:t>
      </w:r>
    </w:p>
    <w:p>
      <w:pPr>
        <w:pStyle w:val="BlockText"/>
      </w:pPr>
      <w:r>
        <w:rPr>
          <w:bCs/>
          <w:b/>
        </w:rPr>
        <w:t xml:space="preserve">Lưu ý phân biệt phạm vi ICRV vs WB geographic scope (v3.14)</w:t>
      </w:r>
      <w:r>
        <w:t xml:space="preserve">: Khung ICRV trong chuyên đề này bao gồm</w:t>
      </w:r>
      <w:r>
        <w:t xml:space="preserve"> </w:t>
      </w:r>
      <w:r>
        <w:rPr>
          <w:bCs/>
          <w:b/>
        </w:rPr>
        <w:t xml:space="preserve">47 nền kinh tế</w:t>
      </w:r>
      <w:r>
        <w:t xml:space="preserve"> </w:t>
      </w:r>
      <w:r>
        <w:t xml:space="preserve">với 5 phân nhóm châu Á thuần (gồm Kazakhstan/Armenia/Georgia trong Upper-middle; Kyrgyzstan/Tajikistan/Uzbekistan/Turkmenistan trong Frontier) vì các nền kinh tế này có dữ liệu WBES đầy đủ, mức độ dị biệt thể chế có giá trị phân tích và được xếp vào "Emerging/Central Asia" theo khung phân loại ADB + nhiều nghiên cứu IB. Tài liệu tham chiếu</w:t>
      </w:r>
      <w:r>
        <w:t xml:space="preserve"> </w:t>
      </w:r>
      <w:r>
        <w:rPr>
          <w:rStyle w:val="VerbatimChar"/>
        </w:rPr>
        <w:t xml:space="preserve">manuscripts/wb_country_classification_2025_2026.md</w:t>
      </w:r>
      <w:r>
        <w:t xml:space="preserve"> </w:t>
      </w:r>
      <w:r>
        <w:t xml:space="preserve">sử dụng phạm vi hẹp hơn: WB geographic regions EAP + SAS + MENAAP (không bao gồm ECA), phục vụ mục đích tra cứu phân loại thu nhập FY2026 WB Atlas Method — hai tài liệu phục vụ mục đích khác nhau. Để tra cứu chi tiết tình trạng WBES data availability cho từng nền kinh tế châu Á (Included vs. Excluded trong PhD + lý do), xem</w:t>
      </w:r>
      <w:r>
        <w:t xml:space="preserve"> </w:t>
      </w:r>
      <w:r>
        <w:rPr>
          <w:rStyle w:val="VerbatimChar"/>
        </w:rPr>
        <w:t xml:space="preserve">manuscripts/wbes_asia_country_scope.md</w:t>
      </w:r>
      <w:r>
        <w:t xml:space="preserve">.</w:t>
      </w:r>
    </w:p>
    <w:p>
      <w:pPr>
        <w:pStyle w:val="FirstParagraph"/>
      </w:pPr>
      <w:r>
        <w:rPr>
          <w:bCs/>
          <w:b/>
        </w:rPr>
        <w:t xml:space="preserve">B. Boundary case extension — 7 SIDS Thái Bình Dương</w:t>
      </w:r>
      <w:r>
        <w:t xml:space="preserve"> </w:t>
      </w:r>
      <w:r>
        <w:t xml:space="preserve">(theo khung "Asia and Pacific" của ADB Regional Classification và World Bank East Asia and Pacific Region):</w:t>
      </w:r>
    </w:p>
    <w:p>
      <w:pPr>
        <w:numPr>
          <w:ilvl w:val="0"/>
          <w:numId w:val="1003"/>
        </w:numPr>
        <w:pStyle w:val="Compact"/>
      </w:pPr>
      <w:r>
        <w:rPr>
          <w:bCs/>
          <w:b/>
        </w:rPr>
        <w:t xml:space="preserve">(vi) SIDS Thái Bình Dương (7 nước, n=1.371, 1,4% pool)</w:t>
      </w:r>
      <w:r>
        <w:t xml:space="preserve">: Fiji, Papua New Guinea, Solomon Islands, Tonga (gồm cả đợt 2024), Vanuatu, Samoa,</w:t>
      </w:r>
      <w:r>
        <w:t xml:space="preserve"> </w:t>
      </w:r>
      <w:r>
        <w:rPr>
          <w:bCs/>
          <w:b/>
        </w:rPr>
        <w:t xml:space="preserve">Kiribati (mới 2025)</w:t>
      </w:r>
      <w:r>
        <w:t xml:space="preserve">.</w:t>
      </w:r>
    </w:p>
    <w:p>
      <w:pPr>
        <w:pStyle w:val="FirstParagraph"/>
      </w:pPr>
      <w:r>
        <w:rPr>
          <w:bCs/>
          <w:b/>
        </w:rPr>
        <w:t xml:space="preserve">Lý do bao gồm SIDS Pacific như boundary case extension</w:t>
      </w:r>
      <w:r>
        <w:t xml:space="preserve"> </w:t>
      </w:r>
      <w:r>
        <w:t xml:space="preserve">(theo nguyên tắc</w:t>
      </w:r>
      <w:r>
        <w:t xml:space="preserve"> </w:t>
      </w:r>
      <w:r>
        <w:rPr>
          <w:iCs/>
          <w:i/>
        </w:rPr>
        <w:t xml:space="preserve">boundary condition explicit</w:t>
      </w:r>
      <w:r>
        <w:t xml:space="preserve"> </w:t>
      </w:r>
      <w:r>
        <w:t xml:space="preserve">của Bello &amp; Kostova, 2012, và</w:t>
      </w:r>
      <w:r>
        <w:t xml:space="preserve"> </w:t>
      </w:r>
      <w:r>
        <w:rPr>
          <w:iCs/>
          <w:i/>
        </w:rPr>
        <w:t xml:space="preserve">phenomenon-based scope</w:t>
      </w:r>
      <w:r>
        <w:t xml:space="preserve"> </w:t>
      </w:r>
      <w:r>
        <w:t xml:space="preserve">của Meyer et al., 2017):</w:t>
      </w:r>
    </w:p>
    <w:p>
      <w:pPr>
        <w:pStyle w:val="BodyText"/>
      </w:pPr>
      <w:r>
        <w:t xml:space="preserve">(a)</w:t>
      </w:r>
      <w:r>
        <w:t xml:space="preserve"> </w:t>
      </w:r>
      <w:r>
        <w:rPr>
          <w:bCs/>
          <w:b/>
        </w:rPr>
        <w:t xml:space="preserve">Khung "Asia and Pacific" thống nhất</w:t>
      </w:r>
      <w:r>
        <w:t xml:space="preserve"> </w:t>
      </w:r>
      <w:r>
        <w:t xml:space="preserve">của ADB Regional Classification (ADB, 2024) và World Bank EAP Region được áp dụng xuyên suốt các báo cáo thực tiễn — đảm bảo so sánh nhất quán với văn liệu IB hiện hành;</w:t>
      </w:r>
    </w:p>
    <w:p>
      <w:pPr>
        <w:pStyle w:val="BodyText"/>
      </w:pPr>
      <w:r>
        <w:t xml:space="preserve">(b)</w:t>
      </w:r>
      <w:r>
        <w:t xml:space="preserve"> </w:t>
      </w:r>
      <w:r>
        <w:rPr>
          <w:bCs/>
          <w:b/>
        </w:rPr>
        <w:t xml:space="preserve">WBES coverage</w:t>
      </w:r>
      <w:r>
        <w:t xml:space="preserve"> </w:t>
      </w:r>
      <w:r>
        <w:t xml:space="preserve">cho SIDS Pacific là phần dữ liệu Asia mà không có nguồn alternative chuẩn hóa khác — bảo đảm tính khả dụng dữ liệu so sánh xuyên quốc gia;</w:t>
      </w:r>
    </w:p>
    <w:p>
      <w:pPr>
        <w:pStyle w:val="BodyText"/>
      </w:pPr>
      <w:r>
        <w:t xml:space="preserve">(c)</w:t>
      </w:r>
      <w:r>
        <w:t xml:space="preserve"> </w:t>
      </w:r>
      <w:r>
        <w:rPr>
          <w:bCs/>
          <w:b/>
        </w:rPr>
        <w:t xml:space="preserve">Giá trị khoa học (scientific value)</w:t>
      </w:r>
      <w:r>
        <w:t xml:space="preserve">: SIDS Pacific là</w:t>
      </w:r>
      <w:r>
        <w:t xml:space="preserve"> </w:t>
      </w:r>
      <w:r>
        <w:rPr>
          <w:bCs/>
          <w:b/>
        </w:rPr>
        <w:t xml:space="preserve">trường hợp biên cực trị (extreme boundary case)</w:t>
      </w:r>
      <w:r>
        <w:t xml:space="preserve"> </w:t>
      </w:r>
      <w:r>
        <w:t xml:space="preserve">giúp minh họa và kiểm chứng patterns châu Á qua tương phản — đặc biệt H6 (forced internationalization penalty) trong Chuyên đề 2. Kiribati 2025 với FSTS 1,03%, FDI 0,7%, website 18,7% là extreme nhất pool (xem §5.7);</w:t>
      </w:r>
    </w:p>
    <w:p>
      <w:pPr>
        <w:pStyle w:val="BodyText"/>
      </w:pPr>
      <w:r>
        <w:t xml:space="preserve">(d)</w:t>
      </w:r>
      <w:r>
        <w:t xml:space="preserve"> </w:t>
      </w:r>
      <w:r>
        <w:rPr>
          <w:bCs/>
          <w:b/>
        </w:rPr>
        <w:t xml:space="preserve">Lý thuyết phenomenon-based</w:t>
      </w:r>
      <w:r>
        <w:t xml:space="preserve"> </w:t>
      </w:r>
      <w:r>
        <w:t xml:space="preserve">(Meyer et al., 2017): hiện tượng "isolated SIDS" (Kiribati extreme) làm sáng tỏ điều kiện biên của lý thuyết Uppsala (Johanson &amp; Vahlne, 1977) và liability of foreignness (Zaheer, 1995) ở scale cực nhỏ.</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2009–2016, 2018–2025). Bao trùm ba thế hệ khung dữ liệu WBES — PICS3 (2009–2012, n=14.335), Standardized (2013–2017, n=25.046), Standardized 2018+ với BREADY/BEE/EAP Core (2018–2025, n=61.804).</w:t>
      </w:r>
    </w:p>
    <w:p>
      <w:pPr>
        <w:pStyle w:val="BodyText"/>
      </w:pPr>
      <w:r>
        <w:rPr>
          <w:bCs/>
          <w:b/>
        </w:rPr>
        <w:t xml:space="preserve">Phạm vi nội dung</w:t>
      </w:r>
      <w:r>
        <w:t xml:space="preserve">: hiệu quả hoạt động kinh doanh đa chiều — năng suất lao động, lợi nhuận, tăng trưởng, đổi mới sáng tạo, cấu trúc doanh nghiệp.</w:t>
      </w:r>
    </w:p>
    <w:bookmarkEnd w:id="30"/>
    <w:bookmarkStart w:id="31" w:name="X8b6fdc9105bd29bb23273b6b47d8f7586b0ad85"/>
    <w:p>
      <w:pPr>
        <w:pStyle w:val="Heading3"/>
      </w:pPr>
      <w:r>
        <w:t xml:space="preserve">1.4 Phương pháp tiếp cận</w:t>
      </w:r>
    </w:p>
    <w:p>
      <w:pPr>
        <w:pStyle w:val="FirstParagraph"/>
      </w:pPr>
      <w:r>
        <w:t xml:space="preserve">Chuyên đề tiếp cận theo lối</w:t>
      </w:r>
      <w:r>
        <w:t xml:space="preserve"> </w:t>
      </w:r>
      <w:r>
        <w:rPr>
          <w:bCs/>
          <w:b/>
        </w:rPr>
        <w:t xml:space="preserve">mô tả – chẩn đoán</w:t>
      </w:r>
      <w:r>
        <w:t xml:space="preserve"> </w:t>
      </w:r>
      <w:r>
        <w:t xml:space="preserve">(descriptive-diagnostic), không thiết lập mô hình hồi quy đa biến để kiểm định nhân quả. Phương pháp này cung cấp bức tranh tổng thể đáng tin cậy làm nền tảng thực tiễn cho Chuyên đề 2 (mô hình lý thuyết và thực nghiêm) và luận án (kiểm định thực nghiệm).</w:t>
      </w:r>
    </w:p>
    <w:p>
      <w:pPr>
        <w:pStyle w:val="BodyText"/>
      </w:pPr>
      <w:r>
        <w:t xml:space="preserve">Cụ thể, chuyên đề kết hợp ba kỹ thuật: (a) thống kê mô tả đa biến (trung vị, trung bình, độ phân tán, kurtosis) theo phân nhóm thể chế và theo ngành; (b) trực quan hóa dữ liệu (heatmap, kernel density, spider chart, scatter plot — 11 hình); (c) phân tích hai biến (bivariate). Khung PESTEL bổ trợ ở cấp độ giải thích bối cảnh.</w:t>
      </w:r>
    </w:p>
    <w:p>
      <w:pPr>
        <w:pStyle w:val="BodyText"/>
      </w:pPr>
      <w:r>
        <w:rPr>
          <w:bCs/>
          <w:b/>
        </w:rPr>
        <w:t xml:space="preserve">Áp dụng nguyên tắc transparent data section của Aguinis et al. (2019 —</w:t>
      </w:r>
      <w:r>
        <w:rPr>
          <w:bCs/>
          <w:b/>
        </w:rPr>
        <w:t xml:space="preserve"> </w:t>
      </w:r>
      <w:r>
        <w:rPr>
          <w:iCs/>
          <w:i/>
          <w:bCs/>
          <w:b/>
        </w:rPr>
        <w:t xml:space="preserve">Journal of Management</w:t>
      </w:r>
      <w:r>
        <w:rPr>
          <w:bCs/>
          <w:b/>
        </w:rPr>
        <w:t xml:space="preserve">)</w:t>
      </w:r>
      <w:r>
        <w:t xml:space="preserve">: chuyên đề trình bày rõ (i) population definition (47 nền kinh tế Asia + Pacific với phân tách 41 vs 7); (ii) sampling procedure (WBES official sampling); (iii) sample size justification (pool 101.185); (iv) response rate (per WBES Country Profile each); (v) missing data handling (FSTS = d3b + d3c, winsorize 1/99); (vi) operationalization variables; (vii) reliability/validity (TCI = R&amp;D + ISO multi-component aspirational, DAI = website single-component v3.0, multi-component v3.2); (viii) estimation method (descriptive only in CĐ1; OLS + IV in CĐ2); (ix) standard errors (n/a CĐ1); (x) robustness (cross-validate with VEFR baseline 17 nước); (xi) open science (replication package</w:t>
      </w:r>
      <w:r>
        <w:t xml:space="preserve"> </w:t>
      </w:r>
      <w:r>
        <w:rPr>
          <w:rStyle w:val="VerbatimChar"/>
        </w:rPr>
        <w:t xml:space="preserve">wbes/</w:t>
      </w:r>
      <w:r>
        <w:t xml:space="preserve"> </w:t>
      </w:r>
      <w:r>
        <w:t xml:space="preserve">+</w:t>
      </w:r>
      <w:r>
        <w:t xml:space="preserve"> </w:t>
      </w:r>
      <w:r>
        <w:rPr>
          <w:rStyle w:val="VerbatimChar"/>
        </w:rPr>
        <w:t xml:space="preserve">papers/</w:t>
      </w:r>
      <w:r>
        <w:t xml:space="preserve"> </w:t>
      </w:r>
      <w:r>
        <w:t xml:space="preserve">+</w:t>
      </w:r>
      <w:r>
        <w:t xml:space="preserve"> </w:t>
      </w:r>
      <w:r>
        <w:rPr>
          <w:rStyle w:val="VerbatimChar"/>
        </w:rPr>
        <w:t xml:space="preserve">figures/</w:t>
      </w:r>
      <w:r>
        <w:t xml:space="preserve">); (xii) data sharing (WBES public + processed pool documented in Phụ lục E).</w:t>
      </w:r>
    </w:p>
    <w:p>
      <w:pPr>
        <w:pStyle w:val="BodyText"/>
      </w:pPr>
      <w:r>
        <w:rPr>
          <w:bCs/>
          <w:b/>
        </w:rPr>
        <w:t xml:space="preserve">Khung lý giải lý thuyết bổ sung — Kafouros et al. (2023 —</w:t>
      </w:r>
      <w:r>
        <w:rPr>
          <w:bCs/>
          <w:b/>
        </w:rPr>
        <w:t xml:space="preserve"> </w:t>
      </w:r>
      <w:r>
        <w:rPr>
          <w:iCs/>
          <w:i/>
          <w:bCs/>
          <w:b/>
        </w:rPr>
        <w:t xml:space="preserve">Global Strategy Journal</w:t>
      </w:r>
      <w:r>
        <w:rPr>
          <w:bCs/>
          <w:b/>
        </w:rPr>
        <w:t xml:space="preserve">)</w:t>
      </w:r>
      <w:r>
        <w:t xml:space="preserve">: Phương pháp descriptive được dẫn dắt bởi ba cơ chế (mechanisms) qua đó chất lượng thể chế tác động đến hiệu quả doanh nghiệp ở các nền kinh tế mới nổi: (a)</w:t>
      </w:r>
      <w:r>
        <w:t xml:space="preserve"> </w:t>
      </w:r>
      <w:r>
        <w:rPr>
          <w:bCs/>
          <w:b/>
        </w:rPr>
        <w:t xml:space="preserve">chi phí và mức độ dễ dàng nhận diện và thiết lập đối tác</w:t>
      </w:r>
      <w:r>
        <w:t xml:space="preserve"> </w:t>
      </w:r>
      <w:r>
        <w:t xml:space="preserve">(partnership identification) — giải thích vì sao DAI và mức độ tham gia website thay đổi mạnh xuyên các phân nhóm thể chế; (b)</w:t>
      </w:r>
      <w:r>
        <w:t xml:space="preserve"> </w:t>
      </w:r>
      <w:r>
        <w:rPr>
          <w:bCs/>
          <w:b/>
        </w:rPr>
        <w:t xml:space="preserve">hiệu lực của khung pháp lý và sở hữu trí tuệ</w:t>
      </w:r>
      <w:r>
        <w:t xml:space="preserve"> </w:t>
      </w:r>
      <w:r>
        <w:t xml:space="preserve">(legal framework effectiveness) — giải thích sự phân tán R&amp;D, ISO và TCI; (c)</w:t>
      </w:r>
      <w:r>
        <w:t xml:space="preserve"> </w:t>
      </w:r>
      <w:r>
        <w:rPr>
          <w:bCs/>
          <w:b/>
        </w:rPr>
        <w:t xml:space="preserve">trao đổi giữa các doanh nghiệp</w:t>
      </w:r>
      <w:r>
        <w:t xml:space="preserve"> </w:t>
      </w:r>
      <w:r>
        <w:t xml:space="preserve">(interfirm market exchange) — giải thích phân tán năng suất nội bộ. Khung 3 cơ chế này là cơ sở để CĐ2 thiết lập các mô hình điều tiết (moderation) cho giả thuyết H7 mới — tương tác giữa chất lượng thể chế và động học ngành (industry × institutional dynamism interaction).</w:t>
      </w:r>
    </w:p>
    <w:p>
      <w:pPr>
        <w:pStyle w:val="BodyText"/>
      </w:pPr>
      <w:r>
        <w:rPr>
          <w:bCs/>
          <w:b/>
        </w:rPr>
        <w:t xml:space="preserve">Khung 3 trụ cột bổ sung — IFC Private Sector Development Blueprint</w:t>
      </w:r>
      <w:r>
        <w:t xml:space="preserve">: Báo cáo IFC (n.d. — PSD Blueprint) phân tích WBES theo ba trụ cột bổ trợ cho Aguinis 12-point và Kafouros 3 mechanisms: (i)</w:t>
      </w:r>
      <w:r>
        <w:t xml:space="preserve"> </w:t>
      </w:r>
      <w:r>
        <w:rPr>
          <w:bCs/>
          <w:b/>
        </w:rPr>
        <w:t xml:space="preserve">nền tảng thể chế</w:t>
      </w:r>
      <w:r>
        <w:t xml:space="preserve"> </w:t>
      </w:r>
      <w:r>
        <w:t xml:space="preserve">(institutional foundations — qui định thuế, quyền sở hữu tài sản, giải quyết tranh chấp,</w:t>
      </w:r>
      <w:r>
        <w:t xml:space="preserve"> </w:t>
      </w:r>
      <w:r>
        <w:rPr>
          <w:bCs/>
          <w:b/>
        </w:rPr>
        <w:t xml:space="preserve">6 essential public transactions</w:t>
      </w:r>
      <w:r>
        <w:t xml:space="preserve">: cấp phép hoạt động, cấp phép xây dựng, kết nối điện, kết nối nước, cấp phép khảo sát đất, hoàn thuế VAT); (ii)</w:t>
      </w:r>
      <w:r>
        <w:t xml:space="preserve"> </w:t>
      </w:r>
      <w:r>
        <w:rPr>
          <w:bCs/>
          <w:b/>
        </w:rPr>
        <w:t xml:space="preserve">nguồn lực vận hành</w:t>
      </w:r>
      <w:r>
        <w:t xml:space="preserve"> </w:t>
      </w:r>
      <w:r>
        <w:t xml:space="preserve">(operational resources — lao động, tài chính, năng lượng, internet); (iii)</w:t>
      </w:r>
      <w:r>
        <w:t xml:space="preserve"> </w:t>
      </w:r>
      <w:r>
        <w:rPr>
          <w:bCs/>
          <w:b/>
        </w:rPr>
        <w:t xml:space="preserve">động lực thị trường</w:t>
      </w:r>
      <w:r>
        <w:t xml:space="preserve"> </w:t>
      </w:r>
      <w:r>
        <w:t xml:space="preserve">(market dynamics — cạnh tranh, FDI, xuất nhập khẩu). Đáng chú ý: doanh nghiệp xuất khẩu mất ~1 tuần để hoàn tất thủ tục (xuất) / ~2 tuần (nhập); ~40% doanh nghiệp coi thủ tục thương mại là rào cản lớn nhất (theo IFC analysis). Khung 3 trụ cột này là tham chiếu cho §6 yếu tố giải thích trong CĐ1 v3.x — bổ sung lăng kính phân tích doanh nghiệp WBES tách 3 chiều cấu trúc.</w:t>
      </w:r>
    </w:p>
    <w:p>
      <w:pPr>
        <w:pStyle w:val="BodyText"/>
      </w:pPr>
      <w:r>
        <w:rPr>
          <w:bCs/>
          <w:b/>
        </w:rPr>
        <w:t xml:space="preserve">Chi tiết phương pháp luận WBES Global</w:t>
      </w:r>
      <w:r>
        <w:t xml:space="preserve">: Áp dụng phương pháp lấy mẫu Global từ năm 2006 với ba nguyên tắc kỹ thuật: (a)</w:t>
      </w:r>
      <w:r>
        <w:t xml:space="preserve"> </w:t>
      </w:r>
      <w:r>
        <w:rPr>
          <w:bCs/>
          <w:b/>
        </w:rPr>
        <w:t xml:space="preserve">Trọng số lấy mẫu</w:t>
      </w:r>
      <w:r>
        <w:t xml:space="preserve"> </w:t>
      </w:r>
      <w:r>
        <w:t xml:space="preserve">(sampling weights): mọi giá trị trung bình và trung vị trong CĐ1 đều được tính có trọng số để phản ánh đúng tổng thể doanh nghiệp thực tế; (b)</w:t>
      </w:r>
      <w:r>
        <w:t xml:space="preserve"> </w:t>
      </w:r>
      <w:r>
        <w:rPr>
          <w:bCs/>
          <w:b/>
        </w:rPr>
        <w:t xml:space="preserve">Xử lý ngoại lai</w:t>
      </w:r>
      <w:r>
        <w:t xml:space="preserve"> </w:t>
      </w:r>
      <w:r>
        <w:t xml:space="preserve">(outliers): các phản hồi cực đoan được xác định bằng phương pháp chuyển đổi logarit và loại bỏ nếu nằm ngoài 3 độ lệch chuẩn so với trung bình, đồng thời winsorize log năng suất ở mức 1/99 phân vị trong cụm quốc gia × năm; (c)</w:t>
      </w:r>
      <w:r>
        <w:t xml:space="preserve"> </w:t>
      </w:r>
      <w:r>
        <w:rPr>
          <w:bCs/>
          <w:b/>
        </w:rPr>
        <w:t xml:space="preserve">Ngưỡng quan sát</w:t>
      </w:r>
      <w:r>
        <w:t xml:space="preserve">: tối thiểu 5 quan sát cho trung bình/trung vị và 30 quan sát cho tốc độ tăng trưởng; nếu không đủ → ghi "n.a." (không áp dụng). Các nguyên tắc này bảo đảm tính so sánh xuyên quốc gia và xuyên thời gian của 47 nền kinh tế trong pool 101.185 doanh nghiệp (cited World Bank, 2025 — Hệ thống phân loại quốc gia FY26 + n.d. — Tài liệu tóm tắt chỉ số Enterprise Surveys; file 04 v2.5).</w:t>
      </w:r>
    </w:p>
    <w:bookmarkEnd w:id="31"/>
    <w:bookmarkStart w:id="32" w:name="X29d3e5f599a740053129973f83287d859a1fc15"/>
    <w:p>
      <w:pPr>
        <w:pStyle w:val="Heading3"/>
      </w:pPr>
      <w:r>
        <w:t xml:space="preserve">1.5 Đóng góp dự kiến của chuyên đề</w:t>
      </w:r>
    </w:p>
    <w:p>
      <w:pPr>
        <w:pStyle w:val="FirstParagraph"/>
      </w:pPr>
      <w:r>
        <w:rPr>
          <w:bCs/>
          <w:b/>
        </w:rPr>
        <w:t xml:space="preserve">Bốn đóng góp scope chính cho 41 nước châu Á</w:t>
      </w:r>
      <w:r>
        <w:t xml:space="preserve">:</w:t>
      </w:r>
    </w:p>
    <w:p>
      <w:pPr>
        <w:pStyle w:val="BodyText"/>
      </w:pPr>
      <w:r>
        <w:t xml:space="preserve">(1)</w:t>
      </w:r>
      <w:r>
        <w:t xml:space="preserve"> </w:t>
      </w:r>
      <w:r>
        <w:rPr>
          <w:bCs/>
          <w:b/>
        </w:rPr>
        <w:t xml:space="preserve">Pattern điển hình (stylized facts)</w:t>
      </w:r>
      <w:r>
        <w:t xml:space="preserve"> </w:t>
      </w:r>
      <w:r>
        <w:t xml:space="preserve">đa chiều cho hiệu quả doanh nghiệp châu Á 2009–2025 — phạm vi rộng nhất trong văn liệu IB hiện hành (Wu et al., 2022 dừng ở 2020; Arte &amp; Larimo, 2022 dừng ở 2019). Việc bao gồm</w:t>
      </w:r>
      <w:r>
        <w:t xml:space="preserve"> </w:t>
      </w:r>
      <w:r>
        <w:rPr>
          <w:bCs/>
          <w:b/>
        </w:rPr>
        <w:t xml:space="preserve">dữ liệu năm 2025</w:t>
      </w:r>
      <w:r>
        <w:t xml:space="preserve"> </w:t>
      </w:r>
      <w:r>
        <w:t xml:space="preserve">cho 13 nước châu Á (Ấn Độ, Saudi Arabia, Thái Lan, Sri Lanka, Mongolia, Qatar, Afghanistan, Maldives, Brunei, Kuwait, Nepal, Solomon Islands*, Fiji*) đặt chuyên đề ở vị trí cập nhật nhất.</w:t>
      </w:r>
    </w:p>
    <w:p>
      <w:pPr>
        <w:pStyle w:val="BodyText"/>
      </w:pPr>
      <w:r>
        <w:t xml:space="preserve">(2)</w:t>
      </w:r>
      <w:r>
        <w:t xml:space="preserve"> </w:t>
      </w:r>
      <w:r>
        <w:rPr>
          <w:bCs/>
          <w:b/>
        </w:rPr>
        <w:t xml:space="preserve">Phân nhóm con Advanced</w:t>
      </w:r>
      <w:r>
        <w:t xml:space="preserve"> </w:t>
      </w:r>
      <w:r>
        <w:t xml:space="preserve">(innovation-driven so với resource-driven) — phát hiện lý thuyết MỚI chưa có trong văn liệu hiện hành (kể cả Đỗ &amp; Phan, 2026 — VEFR vốn chỉ tập trung emerging Asia). Tỷ số phân tán Singapore (1,03) so với Vùng Vịnh (0,49) ≈</w:t>
      </w:r>
      <w:r>
        <w:t xml:space="preserve"> </w:t>
      </w:r>
      <w:r>
        <w:rPr>
          <w:bCs/>
          <w:b/>
        </w:rPr>
        <w:t xml:space="preserve">2,1 lần</w:t>
      </w:r>
      <w:r>
        <w:t xml:space="preserve"> </w:t>
      </w:r>
      <w:r>
        <w:t xml:space="preserve">(xem §5.2 + Hình 4.1).</w:t>
      </w:r>
    </w:p>
    <w:p>
      <w:pPr>
        <w:pStyle w:val="BodyText"/>
      </w:pPr>
      <w:r>
        <w:t xml:space="preserve">(3)</w:t>
      </w:r>
      <w:r>
        <w:t xml:space="preserve"> </w:t>
      </w:r>
      <w:r>
        <w:rPr>
          <w:bCs/>
          <w:b/>
        </w:rPr>
        <w:t xml:space="preserve">Nhảy vọt số (digital leapfrog)</w:t>
      </w:r>
      <w:r>
        <w:t xml:space="preserve"> </w:t>
      </w:r>
      <w:r>
        <w:t xml:space="preserve">ở Frontier và Emerging châu Á 2018–2025 — mở rộng pattern hiệu ứng lá chắn số (digital shield effect) từ 17 nước (Đỗ &amp; Phan, 2026 — VEFR) lên 47 nước (xem §4.4 và §4.6). Phân tách hai tầng (Tier) đo lường —</w:t>
      </w:r>
      <w:r>
        <w:t xml:space="preserve"> </w:t>
      </w:r>
      <w:r>
        <w:rPr>
          <w:bCs/>
          <w:b/>
        </w:rPr>
        <w:t xml:space="preserve">Tier-1 Digital Presence</w:t>
      </w:r>
      <w:r>
        <w:t xml:space="preserve"> </w:t>
      </w:r>
      <w:r>
        <w:t xml:space="preserve">(website</w:t>
      </w:r>
      <w:r>
        <w:t xml:space="preserve"> </w:t>
      </w:r>
      <w:r>
        <w:rPr>
          <w:bCs/>
          <w:b/>
        </w:rPr>
        <w:t xml:space="preserve">nhị phân (binary)</w:t>
      </w:r>
      <w:r>
        <w:t xml:space="preserve"> </w:t>
      </w:r>
      <w:r>
        <w:t xml:space="preserve">có/không, đo trong Spec 1 2009–2025, đã</w:t>
      </w:r>
      <w:r>
        <w:t xml:space="preserve"> </w:t>
      </w:r>
      <w:r>
        <w:rPr>
          <w:bCs/>
          <w:b/>
        </w:rPr>
        <w:t xml:space="preserve">bão hòa (saturation)</w:t>
      </w:r>
      <w:r>
        <w:t xml:space="preserve"> </w:t>
      </w:r>
      <w:r>
        <w:t xml:space="preserve">ở Advanced từ trước 2018) vs</w:t>
      </w:r>
      <w:r>
        <w:t xml:space="preserve"> </w:t>
      </w:r>
      <w:r>
        <w:rPr>
          <w:bCs/>
          <w:b/>
        </w:rPr>
        <w:t xml:space="preserve">Tier-2 Digital Transformation</w:t>
      </w:r>
      <w:r>
        <w:t xml:space="preserve"> </w:t>
      </w:r>
      <w:r>
        <w:t xml:space="preserve">(DAI đa thành phần — multi-component, 5 thành phần: website + email + thanh toán di động (smartphone POS) + thương mại điện tử (e-commerce) + điện toán đám mây (cloud) — đo trong Spec 2 2018–2025) — minh bạch hóa rằng hệ số âm DAI ở Advanced trong Spec 1 (-0,129) là</w:t>
      </w:r>
      <w:r>
        <w:t xml:space="preserve"> </w:t>
      </w:r>
      <w:r>
        <w:rPr>
          <w:bCs/>
          <w:b/>
        </w:rPr>
        <w:t xml:space="preserve">biểu hiện giả tạo do bão hòa Tier-1 (artifact của Tier-1 saturation)</w:t>
      </w:r>
      <w:r>
        <w:t xml:space="preserve">, không phải "số hóa làm giảm năng suất ở Singapore/Hàn Quốc". Kiểm định loại trừ ICT (ICT exclusion test) ở §4.4.5 file 15 xác nhận đây là biểu hiện giả tạo: khi loại bỏ doanh nghiệp ICT khỏi Advanced phân nhóm đổi mới sáng tạo dẫn dắt, hệ số âm biến mất → biến website không còn</w:t>
      </w:r>
      <w:r>
        <w:t xml:space="preserve"> </w:t>
      </w:r>
      <w:r>
        <w:rPr>
          <w:bCs/>
          <w:b/>
        </w:rPr>
        <w:t xml:space="preserve">phân biệt (discriminate)</w:t>
      </w:r>
      <w:r>
        <w:t xml:space="preserve"> </w:t>
      </w:r>
      <w:r>
        <w:t xml:space="preserve">năng suất giữa các doanh nghiệp ở Advanced vì hầu hết đã có website từ lâu.</w:t>
      </w:r>
    </w:p>
    <w:p>
      <w:pPr>
        <w:pStyle w:val="BodyText"/>
      </w:pPr>
      <w:r>
        <w:t xml:space="preserve">(4)</w:t>
      </w:r>
      <w:r>
        <w:t xml:space="preserve"> </w:t>
      </w:r>
      <w:r>
        <w:rPr>
          <w:bCs/>
          <w:b/>
        </w:rPr>
        <w:t xml:space="preserve">Bằng chứng cho khung lý thuyết phi tuyến + điều tiết đa tầng</w:t>
      </w:r>
      <w:r>
        <w:t xml:space="preserve"> </w:t>
      </w:r>
      <w:r>
        <w:t xml:space="preserve">— bốn lần đảo dấu xuyên phân nhóm con thể chế (xem §6 và Hình 6.1) là cơ sở thực tiễn cho</w:t>
      </w:r>
      <w:r>
        <w:t xml:space="preserve"> </w:t>
      </w:r>
      <w:r>
        <w:rPr>
          <w:bCs/>
          <w:b/>
        </w:rPr>
        <w:t xml:space="preserve">6 giả thuyết H1-H6</w:t>
      </w:r>
      <w:r>
        <w:t xml:space="preserve"> </w:t>
      </w:r>
      <w:r>
        <w:t xml:space="preserve">của Chuyên đề 2. Bốn lần đảo dấu này được lý giải sâu hơn qua hai hướng lý thuyết bổ sung.</w:t>
      </w:r>
      <w:r>
        <w:t xml:space="preserve"> </w:t>
      </w:r>
      <w:r>
        <w:rPr>
          <w:bCs/>
          <w:b/>
        </w:rPr>
        <w:t xml:space="preserve">Thứ nhất</w:t>
      </w:r>
      <w:r>
        <w:t xml:space="preserve">,</w:t>
      </w:r>
      <w:r>
        <w:t xml:space="preserve"> </w:t>
      </w:r>
      <w:r>
        <w:rPr>
          <w:bCs/>
          <w:b/>
        </w:rPr>
        <w:t xml:space="preserve">Xu (2024 —</w:t>
      </w:r>
      <w:r>
        <w:rPr>
          <w:bCs/>
          <w:b/>
        </w:rPr>
        <w:t xml:space="preserve"> </w:t>
      </w:r>
      <w:r>
        <w:rPr>
          <w:iCs/>
          <w:i/>
          <w:bCs/>
          <w:b/>
        </w:rPr>
        <w:t xml:space="preserve">Global Strategy Journal</w:t>
      </w:r>
      <w:r>
        <w:rPr>
          <w:bCs/>
          <w:b/>
        </w:rPr>
        <w:t xml:space="preserve">)</w:t>
      </w:r>
      <w:r>
        <w:t xml:space="preserve"> </w:t>
      </w:r>
      <w:r>
        <w:t xml:space="preserve">phân tách "exposure de jure" (luật trên giấy) vs "enforcement de facto" (thực thi thực tế) — gợi ý rằng các điểm chuyển dấu cross-regime không thể chỉ giải thích bằng điểm số WGI hay khoảng cách thể chế tổng hợp; cần phân biệt formal rules và implementation capacity, đặc biệt cho Việt Nam, Trung Quốc, Indonesia, Mongolia có gap de jure–de facto lớn (xem §6 và §7.3.3).</w:t>
      </w:r>
      <w:r>
        <w:t xml:space="preserve"> </w:t>
      </w:r>
      <w:r>
        <w:rPr>
          <w:bCs/>
          <w:b/>
        </w:rPr>
        <w:t xml:space="preserve">Thứ hai</w:t>
      </w:r>
      <w:r>
        <w:t xml:space="preserve">,</w:t>
      </w:r>
      <w:r>
        <w:t xml:space="preserve"> </w:t>
      </w:r>
      <w:r>
        <w:rPr>
          <w:bCs/>
          <w:b/>
        </w:rPr>
        <w:t xml:space="preserve">Kafouros et al. (2023 —</w:t>
      </w:r>
      <w:r>
        <w:rPr>
          <w:bCs/>
          <w:b/>
        </w:rPr>
        <w:t xml:space="preserve"> </w:t>
      </w:r>
      <w:r>
        <w:rPr>
          <w:iCs/>
          <w:i/>
          <w:bCs/>
          <w:b/>
        </w:rPr>
        <w:t xml:space="preserve">Global Strategy Journal</w:t>
      </w:r>
      <w:r>
        <w:rPr>
          <w:bCs/>
          <w:b/>
        </w:rPr>
        <w:t xml:space="preserve">)</w:t>
      </w:r>
      <w:r>
        <w:t xml:space="preserve"> </w:t>
      </w:r>
      <w:r>
        <w:t xml:space="preserve">đề xuất chất lượng thể chế tương tác hai chiều với động học ngành — khuếch đại tích cực ở ngành công nghệ-động (technological dynamism) và suy yếu ở ngành thị trường-động (market dynamism). Hai hướng này mở đường cho</w:t>
      </w:r>
      <w:r>
        <w:t xml:space="preserve"> </w:t>
      </w:r>
      <w:r>
        <w:rPr>
          <w:bCs/>
          <w:b/>
        </w:rPr>
        <w:t xml:space="preserve">giả thuyết H7 mới của CĐ2</w:t>
      </w:r>
      <w:r>
        <w:t xml:space="preserve"> </w:t>
      </w:r>
      <w:r>
        <w:t xml:space="preserve">—</w:t>
      </w:r>
      <w:r>
        <w:t xml:space="preserve"> </w:t>
      </w:r>
      <w:r>
        <w:rPr>
          <w:iCs/>
          <w:i/>
        </w:rPr>
        <w:t xml:space="preserve">industry × institutional dynamism interaction effect</w:t>
      </w:r>
      <w:r>
        <w:t xml:space="preserve"> </w:t>
      </w:r>
      <w:r>
        <w:t xml:space="preserve">— và cho biểu đồ Bảng 4.8.1 dynamism profile theo Kafouros (xem §4.8 file 15).</w:t>
      </w:r>
    </w:p>
    <w:p>
      <w:pPr>
        <w:pStyle w:val="BodyText"/>
      </w:pPr>
      <w:r>
        <w:rPr>
          <w:bCs/>
          <w:b/>
        </w:rPr>
        <w:t xml:space="preserve">Một đóng góp boundary case mở rộng (SIDS Pacific)</w:t>
      </w:r>
      <w:r>
        <w:t xml:space="preserve">:</w:t>
      </w:r>
    </w:p>
    <w:p>
      <w:pPr>
        <w:pStyle w:val="BodyText"/>
      </w:pPr>
      <w:r>
        <w:t xml:space="preserve">(5)</w:t>
      </w:r>
      <w:r>
        <w:t xml:space="preserve"> </w:t>
      </w:r>
      <w:r>
        <w:rPr>
          <w:bCs/>
          <w:b/>
        </w:rPr>
        <w:t xml:space="preserve">Trường hợp biên (boundary case) chi phí buộc phải quốc tế hóa (forced internationalization penalty)</w:t>
      </w:r>
      <w:r>
        <w:t xml:space="preserve"> </w:t>
      </w:r>
      <w:r>
        <w:t xml:space="preserve">ở</w:t>
      </w:r>
      <w:r>
        <w:t xml:space="preserve"> </w:t>
      </w:r>
      <w:r>
        <w:rPr>
          <w:bCs/>
          <w:b/>
        </w:rPr>
        <w:t xml:space="preserve">7 SIDS Thái Bình Dương</w:t>
      </w:r>
      <w:r>
        <w:t xml:space="preserve"> </w:t>
      </w:r>
      <w:r>
        <w:t xml:space="preserve">(Briguglio, 1995; Bertram, 2006) — bằng chứng firm-level đầu tiên trong văn liệu IB cho hiện tượng này (xem §5.7). Kiribati 2025 là extreme nhất với FSTS 1,03%, FDI 0,7%, website 18,7%.</w:t>
      </w:r>
      <w:r>
        <w:t xml:space="preserve"> </w:t>
      </w:r>
      <w:r>
        <w:rPr>
          <w:bCs/>
          <w:b/>
        </w:rPr>
        <w:t xml:space="preserve">Đóng góp này vượt scope chính của tiêu đề luận án nhưng làm sáng tỏ điều kiện biên của lý thuyết Uppsala</w:t>
      </w:r>
      <w:r>
        <w:t xml:space="preserve"> </w:t>
      </w:r>
      <w:r>
        <w:t xml:space="preserve">(Johanson &amp; Vahlne, 1977) — minh họa qua tương phản. Chi tiết phân tích cho SIDS Pacific tách thành bản thảo P8 riêng (Đỗ &amp; Phan, đang chuẩn bị, target</w:t>
      </w:r>
      <w:r>
        <w:t xml:space="preserve"> </w:t>
      </w:r>
      <w:r>
        <w:rPr>
          <w:iCs/>
          <w:i/>
        </w:rPr>
        <w:t xml:space="preserve">World Development</w:t>
      </w:r>
      <w:r>
        <w:t xml:space="preserve">).</w:t>
      </w:r>
    </w:p>
    <w:bookmarkEnd w:id="32"/>
    <w:bookmarkStart w:id="33" w:name="X8f32fe14739c8824c9cf91196bdfa0dcfd6905c"/>
    <w:p>
      <w:pPr>
        <w:pStyle w:val="Heading3"/>
      </w:pPr>
      <w:r>
        <w:t xml:space="preserve">1.6 Kết cấu chuyên đề</w:t>
      </w:r>
    </w:p>
    <w:p>
      <w:pPr>
        <w:pStyle w:val="FirstParagraph"/>
      </w:pPr>
      <w:r>
        <w:t xml:space="preserve">Chuyên đề gồm bảy chương: Ch.1 Giới thiệu; Ch.2 Cơ sở lý luận; Ch.3 Khung phân loại 6 phân nhóm con ICRV; Ch.4 Thực trạng từ WBES (10 mục §4.1-§4.10); Ch.5 Bảy tiểu cảnh điển hình (6 châu Á + 1 SIDS boundary case); Ch.6 Yếu tố giải thích sơ bộ; Ch.7 Khoảng trống thực tiễn và kết luận.</w:t>
      </w:r>
    </w:p>
    <w:p>
      <w:r>
        <w:pict>
          <v:rect style="width:0;height:1.5pt" o:hralign="center" o:hrstd="t" o:hr="t"/>
        </w:pict>
      </w:r>
    </w:p>
    <w:bookmarkEnd w:id="33"/>
    <w:bookmarkEnd w:id="34"/>
    <w:bookmarkStart w:id="42" w:name="X6a96fa224f36a19d68653d3e10335f396843985"/>
    <w:p>
      <w:pPr>
        <w:pStyle w:val="Heading2"/>
      </w:pPr>
      <w:r>
        <w:t xml:space="preserve">CHƯƠNG 2 — CƠ SỞ LÝ LUẬN VỀ HIỆU QUẢ HOẠT ĐỘNG KINH DOANH</w:t>
      </w:r>
    </w:p>
    <w:bookmarkStart w:id="35" w:name="Xa7c0ac42fb7cc3e8e031ee5a831dff8a58a414c"/>
    <w:p>
      <w:pPr>
        <w:pStyle w:val="Heading3"/>
      </w:pPr>
      <w:r>
        <w:t xml:space="preserve">2.1 Khái niệm hiệu quả hoạt động kinh doanh</w:t>
      </w:r>
    </w:p>
    <w:p>
      <w:pPr>
        <w:pStyle w:val="FirstParagraph"/>
      </w:pPr>
      <w:r>
        <w:t xml:space="preserve">Khái niệm "hiệu quả hoạt động kinh doanh" (firm performance) được tiếp cận từ nhiều quan điểm khác nhau trong văn liệu quản trị và kinh tế học doanh nghiệp. Quan điểm tài chính – kế toán nhìn hiệu quả qua khả năng sinh lợi và tạo dòng tiền cho cổ đông, đo lường bằng các chỉ số như Tỷ suất lợi nhuận trên tài sản (ROA), Tỷ suất lợi nhuận trên vốn (ROE), Tỷ suất lợi nhuận trên doanh thu (ROS), biên lợi nhuận gộp và giá trị doanh nghiệp (Penman, 2013). Quan điểm chiến lược mở rộng phạm vi hiệu quả thành ba lĩnh vực bao trùm: tài chính, hoạt động (operational) và mức độ hoàn thành mục tiêu tổ chức, đồng thời nhấn mạnh sự cần thiết của các thước đo đa chiều (Venkatraman &amp; Ramanujam, 1986). Quan điểm các bên liên quan (stakeholder view) bổ sung khía cạnh giá trị tạo ra cho người lao động, khách hàng, nhà cung cấp, cộng đồng và môi trường (Freeman, 1984), do đó hiệu quả không chỉ là kết quả tài chính cho cổ đông.</w:t>
      </w:r>
    </w:p>
    <w:p>
      <w:pPr>
        <w:pStyle w:val="BodyText"/>
      </w:pPr>
      <w:r>
        <w:t xml:space="preserve">Tổng hợp các quan điểm trên, chuyên đề định nghĩa hiệu quả hoạt động kinh doanh là</w:t>
      </w:r>
      <w:r>
        <w:t xml:space="preserve"> </w:t>
      </w:r>
      <w:r>
        <w:rPr>
          <w:bCs/>
          <w:b/>
        </w:rPr>
        <w:t xml:space="preserve">kết quả tổng hợp của hoạt động sản xuất – kinh doanh, thể hiện qua nhiều chiều và phản ánh khả năng chuyển hoá nguồn lực thành giá trị kinh tế</w:t>
      </w:r>
      <w:r>
        <w:t xml:space="preserve">. Định nghĩa này phù hợp với định hướng đa chiều của các phân tích tổng hợp (meta-analysis) hiện hành (Bausch &amp; Krist, 2007; Kirca et al., 2012; Marano et al., 2016; Wu, Wood &amp; Khan, 2022) và tương thích với dữ liệu vi mô có sẵn trong WBES.</w:t>
      </w:r>
    </w:p>
    <w:bookmarkEnd w:id="35"/>
    <w:bookmarkStart w:id="36" w:name="X5ef270652eca80d7e53eac0343c34ae73df99a0"/>
    <w:p>
      <w:pPr>
        <w:pStyle w:val="Heading3"/>
      </w:pPr>
      <w:r>
        <w:t xml:space="preserve">2.2 Các chiều đo lường hiệu quả</w:t>
      </w:r>
    </w:p>
    <w:p>
      <w:pPr>
        <w:pStyle w:val="FirstParagraph"/>
      </w:pPr>
      <w:r>
        <w:t xml:space="preserve">Có thể nhóm các thước đo hiệu quả thành năm chiều chính (xem</w:t>
      </w:r>
      <w:r>
        <w:t xml:space="preserve"> </w:t>
      </w:r>
      <w:r>
        <w:rPr>
          <w:bCs/>
          <w:b/>
        </w:rPr>
        <w:t xml:space="preserve">Hình 2.1</w:t>
      </w:r>
      <w:r>
        <w:t xml:space="preserve">).</w:t>
      </w:r>
    </w:p>
    <w:p>
      <w:pPr>
        <w:pStyle w:val="BodyText"/>
      </w:pPr>
      <w:r>
        <w:rPr>
          <w:bCs/>
          <w:b/>
        </w:rPr>
        <w:t xml:space="preserve">Năng suất</w:t>
      </w:r>
      <w:r>
        <w:t xml:space="preserve">. Thước đo phổ biến nhất là năng suất lao động (sales per employee, value added per employee), dễ tính từ dữ liệu doanh nghiệp và có thể chuẩn hóa qua sức mua tương đương (PPP) để so sánh xuyên quốc gia (Hsieh &amp; Klenow, 2009). Thước đo nâng cao là</w:t>
      </w:r>
      <w:r>
        <w:t xml:space="preserve"> </w:t>
      </w:r>
      <w:r>
        <w:rPr>
          <w:bCs/>
          <w:b/>
        </w:rPr>
        <w:t xml:space="preserve">năng suất tổng nhân tố (Total Factor Productivity — TFP)</w:t>
      </w:r>
      <w:r>
        <w:t xml:space="preserve">, đòi hỏi ước lượng hàm sản xuất (Olley &amp; Pakes, 1996; Levinsohn &amp; Petrin, 2003); WBES giới hạn khả năng tính TFP do thiếu chuỗi vốn.</w:t>
      </w:r>
    </w:p>
    <w:p>
      <w:pPr>
        <w:pStyle w:val="BodyText"/>
      </w:pPr>
      <w:r>
        <w:rPr>
          <w:bCs/>
          <w:b/>
        </w:rPr>
        <w:t xml:space="preserve">Lợi nhuận và biên lợi nhuận</w:t>
      </w:r>
      <w:r>
        <w:t xml:space="preserve">. Chỉ số tài chính chuẩn gồm ROA, ROE, ROS, biên lợi nhuận gộp. Trong WBES, ROS có thể tính từ doanh thu và lợi nhuận hoạt động tự khai báo, mặc dù chất lượng tự khai báo cần thận trọng diễn giải (World Bank Enterprise Surveys, 2025).</w:t>
      </w:r>
    </w:p>
    <w:p>
      <w:pPr>
        <w:pStyle w:val="BodyText"/>
      </w:pPr>
      <w:r>
        <w:rPr>
          <w:bCs/>
          <w:b/>
        </w:rPr>
        <w:t xml:space="preserve">Tăng trưởng</w:t>
      </w:r>
      <w:r>
        <w:t xml:space="preserve">. Bao gồm tăng trưởng doanh thu (3 năm), tăng trưởng việc làm và tăng trưởng xuất khẩu. Đây là chiều phản ánh động lực phát triển và đặc biệt quan trọng đối với doanh nghiệp ở các nền kinh tế đang phát triển (Coad, Segarra &amp; Teruel, 2018).</w:t>
      </w:r>
    </w:p>
    <w:p>
      <w:pPr>
        <w:pStyle w:val="BodyText"/>
      </w:pPr>
      <w:r>
        <w:rPr>
          <w:bCs/>
          <w:b/>
        </w:rPr>
        <w:t xml:space="preserve">Đổi mới sáng tạo</w:t>
      </w:r>
      <w:r>
        <w:t xml:space="preserve">. Đo qua tỷ lệ doanh nghiệp giới thiệu sản phẩm mới, quy trình mới, đầu tư R&amp;D hoặc nắm giữ bằng sáng chế. Đổi mới được coi là động lực dài hạn của hiệu quả qua kênh tích lũy năng lực (Romer, 1990; Cohen &amp; Levinthal, 1990).</w:t>
      </w:r>
    </w:p>
    <w:p>
      <w:pPr>
        <w:pStyle w:val="BodyText"/>
      </w:pPr>
      <w:r>
        <w:rPr>
          <w:bCs/>
          <w:b/>
        </w:rPr>
        <w:t xml:space="preserve">Hiệu quả thị trường và quốc tế hóa</w:t>
      </w:r>
      <w:r>
        <w:t xml:space="preserve">. Thị phần và mức độ thâm nhập thị trường nước ngoài — đo bằng</w:t>
      </w:r>
      <w:r>
        <w:t xml:space="preserve"> </w:t>
      </w:r>
      <w:r>
        <w:rPr>
          <w:bCs/>
          <w:b/>
        </w:rPr>
        <w:t xml:space="preserve">Cường độ xuất khẩu (Foreign Sales to Total Sales — FSTS)</w:t>
      </w:r>
      <w:r>
        <w:t xml:space="preserve"> </w:t>
      </w:r>
      <w:r>
        <w:t xml:space="preserve">— phản ánh năng lực cạnh tranh thị trường rộng. WBES cung cấp đầy đủ chỉ số này.</w:t>
      </w:r>
    </w:p>
    <w:p>
      <w:pPr>
        <w:pStyle w:val="BodyText"/>
      </w:pPr>
      <w:r>
        <w:rPr>
          <w:bCs/>
          <w:b/>
        </w:rPr>
        <w:t xml:space="preserve">Hình 2.1</w:t>
      </w:r>
      <w:r>
        <w:t xml:space="preserve"> </w:t>
      </w:r>
      <w:r>
        <w:rPr>
          <w:iCs/>
          <w:i/>
        </w:rPr>
        <w:t xml:space="preserve">(sơ đồ minh hoạ)</w:t>
      </w:r>
      <w:r>
        <w:t xml:space="preserve">: Bốn ô vuông xếp xung quanh ô trung tâm "Hiệu quả tổng hợp": Năng suất, Lợi nhuận, Tăng trưởng, Đổi mới; ô thứ năm về Quốc tế hóa được vẽ chéo với ngụ ý đây là chiều bổ trợ và là kênh trung gian.</w:t>
      </w:r>
    </w:p>
    <w:bookmarkEnd w:id="36"/>
    <w:bookmarkStart w:id="37" w:name="Xb806cf8127fe85768f5b431a0660141c389d0fa"/>
    <w:p>
      <w:pPr>
        <w:pStyle w:val="Heading3"/>
      </w:pPr>
      <w:r>
        <w:t xml:space="preserve">2.3 So sánh thước đo qua các phân tích tổng hợp lớn</w:t>
      </w:r>
    </w:p>
    <w:p>
      <w:pPr>
        <w:pStyle w:val="FirstParagraph"/>
      </w:pPr>
      <w:r>
        <w:t xml:space="preserve">Bảng 2.1 tổng hợp tỷ lệ sử dụng các thước đo trong năm phân tích tổng hợp (meta-analysis) lớn về quan hệ giữa quốc tế hóa và hiệu quả doanh nghiệp 1980–2022.</w:t>
      </w:r>
    </w:p>
    <w:p>
      <w:pPr>
        <w:pStyle w:val="BodyText"/>
      </w:pPr>
      <w:r>
        <w:rPr>
          <w:bCs/>
          <w:b/>
        </w:rPr>
        <w:t xml:space="preserve">Bảng 2.1</w:t>
      </w:r>
      <w:r>
        <w:t xml:space="preserve">.</w:t>
      </w:r>
      <w:r>
        <w:t xml:space="preserve"> </w:t>
      </w:r>
      <w:r>
        <w:rPr>
          <w:iCs/>
          <w:i/>
        </w:rPr>
        <w:t xml:space="preserve">Tỷ lệ sử dụng các thước đo hiệu quả trong các phân tích tổng hợp lớn 1980–2022.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Thước đo</w:t>
            </w:r>
          </w:p>
        </w:tc>
        <w:tc>
          <w:tcPr/>
          <w:p>
            <w:pPr>
              <w:pStyle w:val="Compact"/>
              <w:jc w:val="left"/>
            </w:pPr>
            <w:r>
              <w:t xml:space="preserve">Bausch &amp; Krist (2007), k=87</w:t>
            </w:r>
          </w:p>
        </w:tc>
        <w:tc>
          <w:tcPr/>
          <w:p>
            <w:pPr>
              <w:pStyle w:val="Compact"/>
              <w:jc w:val="left"/>
            </w:pPr>
            <w:r>
              <w:t xml:space="preserve">Kirca et al. (2012), k=141</w:t>
            </w:r>
          </w:p>
        </w:tc>
        <w:tc>
          <w:tcPr/>
          <w:p>
            <w:pPr>
              <w:pStyle w:val="Compact"/>
              <w:jc w:val="left"/>
            </w:pPr>
            <w:r>
              <w:t xml:space="preserve">Marano et al. (2016), k=359</w:t>
            </w:r>
          </w:p>
        </w:tc>
        <w:tc>
          <w:tcPr/>
          <w:p>
            <w:pPr>
              <w:pStyle w:val="Compact"/>
              <w:jc w:val="left"/>
            </w:pPr>
            <w:r>
              <w:t xml:space="preserve">Arte &amp; Larimo (2022), k=∼200</w:t>
            </w:r>
          </w:p>
        </w:tc>
        <w:tc>
          <w:tcPr/>
          <w:p>
            <w:pPr>
              <w:pStyle w:val="Compact"/>
              <w:jc w:val="left"/>
            </w:pPr>
            <w:r>
              <w:t xml:space="preserve">Wu et al. (2022), k=359</w:t>
            </w:r>
          </w:p>
        </w:tc>
      </w:tr>
      <w:tr>
        <w:tc>
          <w:tcPr/>
          <w:p>
            <w:pPr>
              <w:pStyle w:val="Compact"/>
              <w:jc w:val="left"/>
            </w:pPr>
            <w:r>
              <w:t xml:space="preserve">Năng suất</w:t>
            </w:r>
          </w:p>
        </w:tc>
        <w:tc>
          <w:tcPr/>
          <w:p>
            <w:pPr>
              <w:pStyle w:val="Compact"/>
              <w:jc w:val="left"/>
            </w:pPr>
            <w:r>
              <w:t xml:space="preserve">35%</w:t>
            </w:r>
          </w:p>
        </w:tc>
        <w:tc>
          <w:tcPr/>
          <w:p>
            <w:pPr>
              <w:pStyle w:val="Compact"/>
              <w:jc w:val="left"/>
            </w:pPr>
            <w:r>
              <w:t xml:space="preserve">36%</w:t>
            </w:r>
          </w:p>
        </w:tc>
        <w:tc>
          <w:tcPr/>
          <w:p>
            <w:pPr>
              <w:pStyle w:val="Compact"/>
              <w:jc w:val="left"/>
            </w:pPr>
            <w:r>
              <w:t xml:space="preserve">28%</w:t>
            </w:r>
          </w:p>
        </w:tc>
        <w:tc>
          <w:tcPr/>
          <w:p>
            <w:pPr>
              <w:pStyle w:val="Compact"/>
              <w:jc w:val="left"/>
            </w:pPr>
            <w:r>
              <w:t xml:space="preserve">31%</w:t>
            </w:r>
          </w:p>
        </w:tc>
        <w:tc>
          <w:tcPr/>
          <w:p>
            <w:pPr>
              <w:pStyle w:val="Compact"/>
              <w:jc w:val="left"/>
            </w:pPr>
            <w:r>
              <w:t xml:space="preserve">38%</w:t>
            </w:r>
          </w:p>
        </w:tc>
      </w:tr>
      <w:tr>
        <w:tc>
          <w:tcPr/>
          <w:p>
            <w:pPr>
              <w:pStyle w:val="Compact"/>
              <w:jc w:val="left"/>
            </w:pPr>
            <w:r>
              <w:t xml:space="preserve">Lợi nhuận (ROA/ROE/ROS)</w:t>
            </w:r>
          </w:p>
        </w:tc>
        <w:tc>
          <w:tcPr/>
          <w:p>
            <w:pPr>
              <w:pStyle w:val="Compact"/>
              <w:jc w:val="left"/>
            </w:pPr>
            <w:r>
              <w:t xml:space="preserve">31%</w:t>
            </w:r>
          </w:p>
        </w:tc>
        <w:tc>
          <w:tcPr/>
          <w:p>
            <w:pPr>
              <w:pStyle w:val="Compact"/>
              <w:jc w:val="left"/>
            </w:pPr>
            <w:r>
              <w:t xml:space="preserve">29%</w:t>
            </w:r>
          </w:p>
        </w:tc>
        <w:tc>
          <w:tcPr/>
          <w:p>
            <w:pPr>
              <w:pStyle w:val="Compact"/>
              <w:jc w:val="left"/>
            </w:pPr>
            <w:r>
              <w:t xml:space="preserve">35%</w:t>
            </w:r>
          </w:p>
        </w:tc>
        <w:tc>
          <w:tcPr/>
          <w:p>
            <w:pPr>
              <w:pStyle w:val="Compact"/>
              <w:jc w:val="left"/>
            </w:pPr>
            <w:r>
              <w:t xml:space="preserve">33%</w:t>
            </w:r>
          </w:p>
        </w:tc>
        <w:tc>
          <w:tcPr/>
          <w:p>
            <w:pPr>
              <w:pStyle w:val="Compact"/>
              <w:jc w:val="left"/>
            </w:pPr>
            <w:r>
              <w:t xml:space="preserve">30%</w:t>
            </w:r>
          </w:p>
        </w:tc>
      </w:tr>
      <w:tr>
        <w:tc>
          <w:tcPr/>
          <w:p>
            <w:pPr>
              <w:pStyle w:val="Compact"/>
              <w:jc w:val="left"/>
            </w:pPr>
            <w:r>
              <w:t xml:space="preserve">Tăng trưởng</w:t>
            </w:r>
          </w:p>
        </w:tc>
        <w:tc>
          <w:tcPr/>
          <w:p>
            <w:pPr>
              <w:pStyle w:val="Compact"/>
              <w:jc w:val="left"/>
            </w:pPr>
            <w:r>
              <w:t xml:space="preserve">18%</w:t>
            </w:r>
          </w:p>
        </w:tc>
        <w:tc>
          <w:tcPr/>
          <w:p>
            <w:pPr>
              <w:pStyle w:val="Compact"/>
              <w:jc w:val="left"/>
            </w:pPr>
            <w:r>
              <w:t xml:space="preserve">21%</w:t>
            </w:r>
          </w:p>
        </w:tc>
        <w:tc>
          <w:tcPr/>
          <w:p>
            <w:pPr>
              <w:pStyle w:val="Compact"/>
              <w:jc w:val="left"/>
            </w:pPr>
            <w:r>
              <w:t xml:space="preserve">23%</w:t>
            </w:r>
          </w:p>
        </w:tc>
        <w:tc>
          <w:tcPr/>
          <w:p>
            <w:pPr>
              <w:pStyle w:val="Compact"/>
              <w:jc w:val="left"/>
            </w:pPr>
            <w:r>
              <w:t xml:space="preserve">22%</w:t>
            </w:r>
          </w:p>
        </w:tc>
        <w:tc>
          <w:tcPr/>
          <w:p>
            <w:pPr>
              <w:pStyle w:val="Compact"/>
              <w:jc w:val="left"/>
            </w:pPr>
            <w:r>
              <w:t xml:space="preserve">19%</w:t>
            </w:r>
          </w:p>
        </w:tc>
      </w:tr>
      <w:tr>
        <w:tc>
          <w:tcPr/>
          <w:p>
            <w:pPr>
              <w:pStyle w:val="Compact"/>
              <w:jc w:val="left"/>
            </w:pPr>
            <w:r>
              <w:t xml:space="preserve">Tổng hợp/đa chiều</w:t>
            </w:r>
          </w:p>
        </w:tc>
        <w:tc>
          <w:tcPr/>
          <w:p>
            <w:pPr>
              <w:pStyle w:val="Compact"/>
              <w:jc w:val="left"/>
            </w:pPr>
            <w:r>
              <w:t xml:space="preserve">11%</w:t>
            </w:r>
          </w:p>
        </w:tc>
        <w:tc>
          <w:tcPr/>
          <w:p>
            <w:pPr>
              <w:pStyle w:val="Compact"/>
              <w:jc w:val="left"/>
            </w:pPr>
            <w:r>
              <w:t xml:space="preserve">9%</w:t>
            </w:r>
          </w:p>
        </w:tc>
        <w:tc>
          <w:tcPr/>
          <w:p>
            <w:pPr>
              <w:pStyle w:val="Compact"/>
              <w:jc w:val="left"/>
            </w:pPr>
            <w:r>
              <w:t xml:space="preserve">8%</w:t>
            </w:r>
          </w:p>
        </w:tc>
        <w:tc>
          <w:tcPr/>
          <w:p>
            <w:pPr>
              <w:pStyle w:val="Compact"/>
              <w:jc w:val="left"/>
            </w:pPr>
            <w:r>
              <w:t xml:space="preserve">9%</w:t>
            </w:r>
          </w:p>
        </w:tc>
        <w:tc>
          <w:tcPr/>
          <w:p>
            <w:pPr>
              <w:pStyle w:val="Compact"/>
              <w:jc w:val="left"/>
            </w:pPr>
            <w:r>
              <w:t xml:space="preserve">10%</w:t>
            </w:r>
          </w:p>
        </w:tc>
      </w:tr>
      <w:tr>
        <w:tc>
          <w:tcPr/>
          <w:p>
            <w:pPr>
              <w:pStyle w:val="Compact"/>
              <w:jc w:val="left"/>
            </w:pPr>
            <w:r>
              <w:t xml:space="preserve">Khác (giá trị thị trường, sáng tạo)</w:t>
            </w:r>
          </w:p>
        </w:tc>
        <w:tc>
          <w:tcPr/>
          <w:p>
            <w:pPr>
              <w:pStyle w:val="Compact"/>
              <w:jc w:val="left"/>
            </w:pPr>
            <w:r>
              <w:t xml:space="preserve">5%</w:t>
            </w:r>
          </w:p>
        </w:tc>
        <w:tc>
          <w:tcPr/>
          <w:p>
            <w:pPr>
              <w:pStyle w:val="Compact"/>
              <w:jc w:val="left"/>
            </w:pPr>
            <w:r>
              <w:t xml:space="preserve">5%</w:t>
            </w:r>
          </w:p>
        </w:tc>
        <w:tc>
          <w:tcPr/>
          <w:p>
            <w:pPr>
              <w:pStyle w:val="Compact"/>
              <w:jc w:val="left"/>
            </w:pPr>
            <w:r>
              <w:t xml:space="preserve">6%</w:t>
            </w:r>
          </w:p>
        </w:tc>
        <w:tc>
          <w:tcPr/>
          <w:p>
            <w:pPr>
              <w:pStyle w:val="Compact"/>
              <w:jc w:val="left"/>
            </w:pPr>
            <w:r>
              <w:t xml:space="preserve">5%</w:t>
            </w:r>
          </w:p>
        </w:tc>
        <w:tc>
          <w:tcPr/>
          <w:p>
            <w:pPr>
              <w:pStyle w:val="Compact"/>
              <w:jc w:val="left"/>
            </w:pPr>
            <w:r>
              <w:t xml:space="preserve">3%</w:t>
            </w:r>
          </w:p>
        </w:tc>
      </w:tr>
    </w:tbl>
    <w:p>
      <w:pPr>
        <w:pStyle w:val="BodyText"/>
      </w:pPr>
      <w:r>
        <w:rPr>
          <w:iCs/>
          <w:i/>
        </w:rPr>
        <w:t xml:space="preserve">Nguồn: Tổng hợp của tác giả từ Bausch &amp; Krist (2007); Kirca et al. (2012); Marano et al. (2016); Arte &amp; Larimo (2022); Wu et al. (2022). Phạm vi thực: Bausch &amp; Krist 1980–2006; Kirca et al. 1980–2010; Marano et al. 1980–2014; Arte &amp; Larimo 1990–2019; Wu et al. 1995–2020.</w:t>
      </w:r>
    </w:p>
    <w:p>
      <w:pPr>
        <w:pStyle w:val="BodyText"/>
      </w:pPr>
      <w:r>
        <w:t xml:space="preserve">Bảng 2.1 cho thấy bộ ba "năng suất – lợi nhuận – tăng trưởng" chiếm ưu thế xuyên các phân tích tổng hợp. Đây là cơ sở để chuyên đề lựa chọn ba chiều này làm trục mô tả chính, bổ sung chiều đổi mới sáng tạo và cấu trúc doanh nghiệp.</w:t>
      </w:r>
    </w:p>
    <w:p>
      <w:pPr>
        <w:pStyle w:val="BodyText"/>
      </w:pPr>
      <w:r>
        <w:rPr>
          <w:bCs/>
          <w:b/>
        </w:rPr>
        <w:t xml:space="preserve">Về meta-analysis tổng hợp văn liệu I→P cho châu Á</w:t>
      </w:r>
      <w:r>
        <w:t xml:space="preserve">: Năm phân tích tổng hợp ở Bảng 2.1 đều lấy mẫu chủ yếu từ nghiên cứu về công ty đa quốc gia phương Tây và chưa có trọng tâm châu Á và Thái Bình Dương đặc thù. Đỗ et al. (202X, in preparation — P6) đang tiến hành meta-analysis tổng hợp hệ thống văn liệu I→P cho 47 nền kinh tế châu Á và Thái Bình Dương, dự kiến cung cấp pooled effect sizes để neo thực nghiệm (empirical anchor) cho các giả thuyết H1–H6 trong Chuyên đề 2. CĐ1 hiện sử dụng</w:t>
      </w:r>
      <w:r>
        <w:t xml:space="preserve"> </w:t>
      </w:r>
      <w:r>
        <w:rPr>
          <w:bCs/>
          <w:b/>
        </w:rPr>
        <w:t xml:space="preserve">systematic narrative review</w:t>
      </w:r>
      <w:r>
        <w:t xml:space="preserve"> </w:t>
      </w:r>
      <w:r>
        <w:t xml:space="preserve">thay thế cho đến khi P6 hoàn thành — phương pháp này phù hợp với mục tiêu mô tả–chẩn đoán của chuyên đề và được chuẩn hóa theo PRISMA 2020 (Page et al., 2021).</w:t>
      </w:r>
    </w:p>
    <w:bookmarkEnd w:id="37"/>
    <w:bookmarkStart w:id="38" w:name="X8a684e6539e34c570fa604cf32631cabfb69886"/>
    <w:p>
      <w:pPr>
        <w:pStyle w:val="Heading3"/>
      </w:pPr>
      <w:r>
        <w:t xml:space="preserve">2.4 Vấn đề chuẩn hóa đo lường xuyên quốc gia</w:t>
      </w:r>
    </w:p>
    <w:p>
      <w:pPr>
        <w:pStyle w:val="FirstParagraph"/>
      </w:pPr>
      <w:r>
        <w:t xml:space="preserve">Bốn vấn đề lớn cần xử lý khi so sánh hiệu quả doanh nghiệp xuyên 47 nền kinh tế châu Á và Thái Bình Dương.</w:t>
      </w:r>
    </w:p>
    <w:p>
      <w:pPr>
        <w:pStyle w:val="BodyText"/>
      </w:pPr>
      <w:r>
        <w:rPr>
          <w:iCs/>
          <w:i/>
        </w:rPr>
        <w:t xml:space="preserve">Thứ nhất, sự khác biệt chuẩn mực kế toán</w:t>
      </w:r>
      <w:r>
        <w:t xml:space="preserve">. Doanh nghiệp ở Singapore, Malaysia, Hong Kong áp dụng IFRS; ở Việt Nam tuân theo VAS (chuẩn riêng có hiệu chỉnh từ IFRS); một số quốc gia Trung Á, Nam Á, SIDS Thái Bình Dương sử dụng chuẩn cũ hơn. Vì vậy, các thước đo lợi nhuận có thể không hoàn toàn so sánh nguyên trạng (Penman, 2013).</w:t>
      </w:r>
    </w:p>
    <w:p>
      <w:pPr>
        <w:pStyle w:val="BodyText"/>
      </w:pPr>
      <w:r>
        <w:rPr>
          <w:iCs/>
          <w:i/>
        </w:rPr>
        <w:t xml:space="preserve">Thứ hai, hiệu chỉnh PPP, lạm phát và tỷ giá</w:t>
      </w:r>
      <w:r>
        <w:t xml:space="preserve">. Số liệu doanh thu và lợi nhuận cần chuyển về USD PPP 2017 để so sánh được. Lạm phát cao ở một số quốc gia (Pakistan, Sri Lanka, Lào, Yemen, Lebanon trong giai đoạn</w:t>
      </w:r>
      <w:r>
        <w:t xml:space="preserve"> </w:t>
      </w:r>
      <w:r>
        <w:rPr>
          <w:bCs/>
          <w:b/>
        </w:rPr>
        <w:t xml:space="preserve">2022–2025</w:t>
      </w:r>
      <w:r>
        <w:t xml:space="preserve">) đòi hỏi chuyển về giá thực (deflate) cẩn thận.</w:t>
      </w:r>
    </w:p>
    <w:p>
      <w:pPr>
        <w:pStyle w:val="BodyText"/>
      </w:pPr>
      <w:r>
        <w:rPr>
          <w:iCs/>
          <w:i/>
        </w:rPr>
        <w:t xml:space="preserve">Thứ ba, định danh và bám đuôi doanh nghiệp xuyên năm</w:t>
      </w:r>
      <w:r>
        <w:t xml:space="preserve">. WBES không phải dữ liệu mảng (panel) chuẩn; phần lớn các đợt khảo sát là mặt cắt chéo (cross-section) lặp với mẫu mới. Một số quốc gia (Trung Quốc, Việt Nam, Mongolia, Nepal) có panel ngắn 2–3 chu kỳ.</w:t>
      </w:r>
    </w:p>
    <w:p>
      <w:pPr>
        <w:pStyle w:val="BodyText"/>
      </w:pPr>
      <w:r>
        <w:rPr>
          <w:iCs/>
          <w:i/>
        </w:rPr>
        <w:t xml:space="preserve">Thứ tư, hài hòa khung dữ liệu (schema) xuyên ba thế hệ WBES</w:t>
      </w:r>
      <w:r>
        <w:t xml:space="preserve">. Schema PICS3 (Private Investment and Climate Survey thế hệ 3, 2007–2012), Standardized (2013–2017), và Standardized2018+/BREADY (tên tắt nhóm tác giả cho WBES schema sau 2018, 2018–2025) khác biệt về tên biến và cách hỏi. Giao thức hài hòa được trình bày chi tiết trong tài liệu nội bộ</w:t>
      </w:r>
      <w:r>
        <w:t xml:space="preserve"> </w:t>
      </w:r>
      <w:r>
        <w:rPr>
          <w:rStyle w:val="VerbatimChar"/>
        </w:rPr>
        <w:t xml:space="preserve">thesis/08_p7_data_harmonization_protocol_vi.md</w:t>
      </w:r>
      <w:r>
        <w:t xml:space="preserve">.</w:t>
      </w:r>
    </w:p>
    <w:bookmarkEnd w:id="38"/>
    <w:bookmarkStart w:id="39" w:name="X8eac86a11b2c35fb3fc0ac70c4351e03ff493c1"/>
    <w:p>
      <w:pPr>
        <w:pStyle w:val="Heading3"/>
      </w:pPr>
      <w:r>
        <w:t xml:space="preserve">2.5 Khung lý thuyết hỗ trợ phân tích thực trạng</w:t>
      </w:r>
    </w:p>
    <w:p>
      <w:pPr>
        <w:pStyle w:val="FirstParagraph"/>
      </w:pPr>
      <w:r>
        <w:t xml:space="preserve">Mặc dù chuyên đề là mô tả, ba khung lý thuyết được sử dụng làm "đèn soi" để diễn giải các pattern quan sát được.</w:t>
      </w:r>
    </w:p>
    <w:p>
      <w:pPr>
        <w:pStyle w:val="BodyText"/>
      </w:pPr>
      <w:r>
        <w:rPr>
          <w:iCs/>
          <w:i/>
        </w:rPr>
        <w:t xml:space="preserve">Lý thuyết tăng trưởng nội sinh</w:t>
      </w:r>
      <w:r>
        <w:t xml:space="preserve"> </w:t>
      </w:r>
      <w:r>
        <w:t xml:space="preserve">(Romer, 1990) lý giải năng suất là kết quả tích lũy tri thức và đầu tư R&amp;D. Khung này ngụ ý các nước châu Á có chính sách R&amp;D mạnh (Hàn Quốc, Singapore, Trung Quốc) nên có năng suất cao hơn các nước thiếu nền tảng R&amp;D.</w:t>
      </w:r>
    </w:p>
    <w:p>
      <w:pPr>
        <w:pStyle w:val="BodyText"/>
      </w:pPr>
      <w:r>
        <w:rPr>
          <w:iCs/>
          <w:i/>
        </w:rPr>
        <w:t xml:space="preserve">Lý thuyết doanh nghiệp dựa trên nguồn lực</w:t>
      </w:r>
      <w:r>
        <w:t xml:space="preserve"> </w:t>
      </w:r>
      <w:r>
        <w:t xml:space="preserve">(Barney, 1991; Wernerfelt, 1984) giải thích dị biệt giữa các doanh nghiệp trong cùng môi trường. Doanh nghiệp có nguồn lực</w:t>
      </w:r>
      <w:r>
        <w:t xml:space="preserve"> </w:t>
      </w:r>
      <w:r>
        <w:rPr>
          <w:bCs/>
          <w:b/>
        </w:rPr>
        <w:t xml:space="preserve">giá trị – hiếm – khó bắt chước – không thay thế (Valuable – Rare – Inimitable – Non-substitutable — VRIN)</w:t>
      </w:r>
      <w:r>
        <w:t xml:space="preserve"> </w:t>
      </w:r>
      <w:r>
        <w:t xml:space="preserve">sẽ có hiệu quả vượt trội. Khung này dự báo phân tán lớn về hiệu quả doanh nghiệp ngay cả trong cùng quốc gia.</w:t>
      </w:r>
    </w:p>
    <w:p>
      <w:pPr>
        <w:pStyle w:val="BodyText"/>
      </w:pPr>
      <w:r>
        <w:rPr>
          <w:iCs/>
          <w:i/>
        </w:rPr>
        <w:t xml:space="preserve">Lý thuyết thể chế</w:t>
      </w:r>
      <w:r>
        <w:t xml:space="preserve"> </w:t>
      </w:r>
      <w:r>
        <w:t xml:space="preserve">(North, 1990; Khanna &amp; Palepu, 2010) giải thích dị biệt giữa các quốc gia. Thể chế chính thức (luật, hợp đồng) và phi chính thức (chuẩn mực, mạng lưới) định hình chi phí giao dịch và rủi ro kinh doanh, qua đó tác động lên hiệu quả. Khung này đặc biệt phù hợp khi phân tích</w:t>
      </w:r>
      <w:r>
        <w:t xml:space="preserve"> </w:t>
      </w:r>
      <w:r>
        <w:rPr>
          <w:bCs/>
          <w:b/>
        </w:rPr>
        <w:t xml:space="preserve">khoảng trống thể chế (institutional voids)</w:t>
      </w:r>
      <w:r>
        <w:t xml:space="preserve"> </w:t>
      </w:r>
      <w:r>
        <w:t xml:space="preserve">ở các nền kinh tế emerging và frontier. Đỗ và Phan (2026 — VEFR) đã phát hiện trên 17 nước châu Á mới nổi rằng việc áp dụng công nghệ làm giảm đáng kể tác động bất lợi của các rào cản thể chế lên năng suất — pattern được tác giả gọi là "</w:t>
      </w:r>
      <w:r>
        <w:rPr>
          <w:bCs/>
          <w:b/>
        </w:rPr>
        <w:t xml:space="preserve">hiệu ứng lá chắn số (digital shield effect)</w:t>
      </w:r>
      <w:r>
        <w:t xml:space="preserve">" — và là nền tảng thực tiễn quan trọng cho việc kiểm định mở rộng trên 47 nước trong CĐ1 này.</w:t>
      </w:r>
    </w:p>
    <w:p>
      <w:pPr>
        <w:pStyle w:val="BodyText"/>
      </w:pPr>
      <w:r>
        <w:t xml:space="preserve">Ba khung lý thuyết trên cùng được sử dụng đa tầng trong Chuyên đề 2 và luận án; trong Chuyên đề 1, chúng đóng vai trò khung diễn giải bổ trợ cho phần mô tả.</w:t>
      </w:r>
    </w:p>
    <w:bookmarkEnd w:id="39"/>
    <w:bookmarkStart w:id="40" w:name="X4c0732984da07cecc2bb03685008189b4ec6c8b"/>
    <w:p>
      <w:pPr>
        <w:pStyle w:val="Heading3"/>
      </w:pPr>
      <w:r>
        <w:t xml:space="preserve">§2.6 ĐIỀU KIỆN BIÊN CHO U-CURVE LU &amp; BEAMISH (2004)</w:t>
      </w:r>
    </w:p>
    <w:p>
      <w:pPr>
        <w:pStyle w:val="FirstParagraph"/>
      </w:pPr>
      <w:r>
        <w:t xml:space="preserve">NotebookLM podcast 06/05/2026</w:t>
      </w:r>
      <w:r>
        <w:t xml:space="preserve"> </w:t>
      </w:r>
      <w:r>
        <w:rPr>
          <w:iCs/>
          <w:i/>
        </w:rPr>
        <w:t xml:space="preserve">Bẫy đo lường số hóa Châu Á</w:t>
      </w:r>
      <w:r>
        <w:t xml:space="preserve"> </w:t>
      </w:r>
      <w:r>
        <w:t xml:space="preserve">khuyến nghị: việc nhét khái niệm "chi phí buộc phải quốc tế hóa SIDS Pacific" vào §4.4 file 15 làm mờ ranh giới giữa hai loại điều tiết thể chế — (i) thể chế</w:t>
      </w:r>
      <w:r>
        <w:t xml:space="preserve"> </w:t>
      </w:r>
      <w:r>
        <w:rPr>
          <w:bCs/>
          <w:b/>
        </w:rPr>
        <w:t xml:space="preserve">điều tiết cường độ lợi nhuận</w:t>
      </w:r>
      <w:r>
        <w:t xml:space="preserve"> </w:t>
      </w:r>
      <w:r>
        <w:t xml:space="preserve">từ quốc tế hóa (U-curve operating); (ii) thể chế</w:t>
      </w:r>
      <w:r>
        <w:t xml:space="preserve"> </w:t>
      </w:r>
      <w:r>
        <w:rPr>
          <w:bCs/>
          <w:b/>
        </w:rPr>
        <w:t xml:space="preserve">quyết định sự tồn tại của quy luật U-curve</w:t>
      </w:r>
      <w:r>
        <w:t xml:space="preserve"> </w:t>
      </w:r>
      <w:r>
        <w:t xml:space="preserve">(boundary case). Cần thiết lập 3 điều kiện cấu trúc cho U-curve từ sớm trong Chương 2 thì khi Chương 4–5 phân tích sự thất bại, mảnh ghép sẽ hoàn hảo. SIDS Pacific là trường hợp</w:t>
      </w:r>
      <w:r>
        <w:t xml:space="preserve"> </w:t>
      </w:r>
      <w:r>
        <w:rPr>
          <w:bCs/>
          <w:b/>
        </w:rPr>
        <w:t xml:space="preserve">đường cong U ngược (Lu &amp; Beamish, 2004) bị biến dạng thành đường cong đảo ngược</w:t>
      </w:r>
      <w:r>
        <w:t xml:space="preserve"> </w:t>
      </w:r>
      <w:r>
        <w:t xml:space="preserve">— không phải dị biệt ngẫu nhiên mà là điều kiện biên (boundary condition — Bello &amp; Kostova, 2012) của lý thuyết.</w:t>
      </w:r>
    </w:p>
    <w:p>
      <w:pPr>
        <w:pStyle w:val="BodyText"/>
      </w:pPr>
      <w:r>
        <w:rPr>
          <w:bCs/>
          <w:b/>
        </w:rPr>
        <w:t xml:space="preserve">Ba điều kiện cấu trúc bắt buộc cho U-curve vận hành</w:t>
      </w:r>
      <w:r>
        <w:t xml:space="preserve"> </w:t>
      </w:r>
      <w:r>
        <w:t xml:space="preserve">(theoretical foundation cho Chương 4–5 file 15/16 + CĐ2 H6):</w:t>
      </w:r>
    </w:p>
    <w:p>
      <w:pPr>
        <w:pStyle w:val="BodyText"/>
      </w:pPr>
      <w:r>
        <w:t xml:space="preserve">(1)</w:t>
      </w:r>
      <w:r>
        <w:t xml:space="preserve"> </w:t>
      </w:r>
      <w:r>
        <w:rPr>
          <w:bCs/>
          <w:b/>
        </w:rPr>
        <w:t xml:space="preserve">Điều kiện thị trường nội địa khả thi</w:t>
      </w:r>
      <w:r>
        <w:t xml:space="preserve"> </w:t>
      </w:r>
      <w:r>
        <w:t xml:space="preserve">(viable domestic market): Doanh nghiệp có thể bán hàng nội địa ở quy mô đủ để tích lũy năng lực kinh doanh trước khi quốc tế hóa. Điều kiện này thỏa ở Singapore (5,9 triệu dân, GDP per capita ~</w:t>
      </w:r>
      <m:oMath>
        <m:r>
          <m:t>80.000</m:t>
        </m:r>
        <m:r>
          <m:rPr>
            <m:sty m:val="p"/>
          </m:rPr>
          <m:t>)</m:t>
        </m:r>
        <m:r>
          <m:rPr>
            <m:sty m:val="p"/>
          </m:rPr>
          <m:t>,</m:t>
        </m:r>
        <m:r>
          <m:t>T</m:t>
        </m:r>
        <m:r>
          <m:t>r</m:t>
        </m:r>
        <m:r>
          <m:t>u</m:t>
        </m:r>
        <m:r>
          <m:t>n</m:t>
        </m:r>
        <m:r>
          <m:t>g</m:t>
        </m:r>
        <m:r>
          <m:t>Q</m:t>
        </m:r>
        <m:r>
          <m:t>u</m:t>
        </m:r>
        <m:r>
          <m:t>ố</m:t>
        </m:r>
        <m:r>
          <m:t>c</m:t>
        </m:r>
        <m:d>
          <m:dPr>
            <m:begChr m:val="("/>
            <m:endChr m:val=")"/>
            <m:sepChr m:val=""/>
            <m:grow/>
          </m:dPr>
          <m:e>
            <m:r>
              <m:t>1</m:t>
            </m:r>
            <m:r>
              <m:rPr>
                <m:sty m:val="p"/>
              </m:rPr>
              <m:t>,</m:t>
            </m:r>
            <m:r>
              <m:t>4</m:t>
            </m:r>
            <m:r>
              <m:t>t</m:t>
            </m:r>
            <m:r>
              <m:t>ỷ</m:t>
            </m:r>
            <m:r>
              <m:t>d</m:t>
            </m:r>
            <m:r>
              <m:t>â</m:t>
            </m:r>
            <m:r>
              <m:t>n</m:t>
            </m:r>
          </m:e>
        </m:d>
        <m:r>
          <m:rPr>
            <m:sty m:val="p"/>
          </m:rPr>
          <m:t>,</m:t>
        </m:r>
        <m:r>
          <m:t>V</m:t>
        </m:r>
        <m:r>
          <m:t>i</m:t>
        </m:r>
        <m:r>
          <m:t>ệ</m:t>
        </m:r>
        <m:r>
          <m:t>t</m:t>
        </m:r>
        <m:r>
          <m:t>N</m:t>
        </m:r>
        <m:r>
          <m:t>a</m:t>
        </m:r>
        <m:r>
          <m:t>m</m:t>
        </m:r>
        <m:d>
          <m:dPr>
            <m:begChr m:val="("/>
            <m:endChr m:val=")"/>
            <m:sepChr m:val=""/>
            <m:grow/>
          </m:dPr>
          <m:e>
            <m:r>
              <m:t>98</m:t>
            </m:r>
            <m:r>
              <m:t>t</m:t>
            </m:r>
            <m:r>
              <m:t>r</m:t>
            </m:r>
            <m:r>
              <m:t>i</m:t>
            </m:r>
            <m:r>
              <m:t>ệ</m:t>
            </m:r>
            <m:r>
              <m:t>u</m:t>
            </m:r>
            <m:r>
              <m:t>d</m:t>
            </m:r>
            <m:r>
              <m:t>â</m:t>
            </m:r>
            <m:r>
              <m:t>n</m:t>
            </m:r>
          </m:e>
        </m:d>
        <m:r>
          <m:rPr>
            <m:sty m:val="p"/>
          </m:rPr>
          <m:t>,</m:t>
        </m:r>
        <m:r>
          <m:t>I</m:t>
        </m:r>
        <m:r>
          <m:t>n</m:t>
        </m:r>
        <m:r>
          <m:t>d</m:t>
        </m:r>
        <m:r>
          <m:t>o</m:t>
        </m:r>
        <m:r>
          <m:t>n</m:t>
        </m:r>
        <m:r>
          <m:t>e</m:t>
        </m:r>
        <m:r>
          <m:t>s</m:t>
        </m:r>
        <m:r>
          <m:t>i</m:t>
        </m:r>
        <m:r>
          <m:t>a</m:t>
        </m:r>
        <m:d>
          <m:dPr>
            <m:begChr m:val="("/>
            <m:endChr m:val=")"/>
            <m:sepChr m:val=""/>
            <m:grow/>
          </m:dPr>
          <m:e>
            <m:r>
              <m:t>273</m:t>
            </m:r>
            <m:r>
              <m:t>t</m:t>
            </m:r>
            <m:r>
              <m:t>r</m:t>
            </m:r>
            <m:r>
              <m:t>i</m:t>
            </m:r>
            <m:r>
              <m:t>ệ</m:t>
            </m:r>
            <m:r>
              <m:t>u</m:t>
            </m:r>
          </m:e>
        </m:d>
        <m:r>
          <m:rPr>
            <m:sty m:val="p"/>
          </m:rPr>
          <m:t>—</m:t>
        </m:r>
        <m:r>
          <m:t>K</m:t>
        </m:r>
        <m:r>
          <m:t>H</m:t>
        </m:r>
        <m:r>
          <m:t>Ô</m:t>
        </m:r>
        <m:r>
          <m:t>N</m:t>
        </m:r>
        <m:r>
          <m:t>G</m:t>
        </m:r>
        <m:r>
          <m:t>t</m:t>
        </m:r>
        <m:r>
          <m:t>h</m:t>
        </m:r>
        <m:r>
          <m:t>ỏ</m:t>
        </m:r>
        <m:r>
          <m:t>a</m:t>
        </m:r>
        <m:r>
          <m:t>ở</m:t>
        </m:r>
        <m:r>
          <m:t>K</m:t>
        </m:r>
        <m:r>
          <m:t>i</m:t>
        </m:r>
        <m:r>
          <m:t>r</m:t>
        </m:r>
        <m:r>
          <m:t>i</m:t>
        </m:r>
        <m:r>
          <m:t>b</m:t>
        </m:r>
        <m:r>
          <m:t>a</m:t>
        </m:r>
        <m:r>
          <m:t>t</m:t>
        </m:r>
        <m:r>
          <m:t>i</m:t>
        </m:r>
        <m:r>
          <m:rPr>
            <m:sty m:val="p"/>
          </m:rPr>
          <m:t>(</m:t>
        </m:r>
        <m:r>
          <m:t>130.000</m:t>
        </m:r>
        <m:r>
          <m:t>d</m:t>
        </m:r>
        <m:r>
          <m:t>â</m:t>
        </m:r>
        <m:r>
          <m:t>n</m:t>
        </m:r>
        <m:r>
          <m:rPr>
            <m:sty m:val="p"/>
          </m:rPr>
          <m:t>,</m:t>
        </m:r>
        <m:r>
          <m:t>G</m:t>
        </m:r>
        <m:r>
          <m:t>D</m:t>
        </m:r>
        <m:r>
          <m:t>P</m:t>
        </m:r>
        <m:r>
          <m:t>p</m:t>
        </m:r>
        <m:r>
          <m:t>e</m:t>
        </m:r>
        <m:r>
          <m:t>r</m:t>
        </m:r>
        <m:r>
          <m:t>c</m:t>
        </m:r>
        <m:r>
          <m:t>a</m:t>
        </m:r>
        <m:r>
          <m:t>p</m:t>
        </m:r>
        <m:r>
          <m:t>i</m:t>
        </m:r>
        <m:r>
          <m:t>t</m:t>
        </m:r>
        <m:r>
          <m:t>a</m:t>
        </m:r>
        <m:r>
          <m:t> </m:t>
        </m:r>
      </m:oMath>
      <w:r>
        <w:t xml:space="preserve">1.700), Tuvalu (~12.000 dân) hoặc Tonga (~106.000);</w:t>
      </w:r>
    </w:p>
    <w:p>
      <w:pPr>
        <w:pStyle w:val="BodyText"/>
      </w:pPr>
      <w:r>
        <w:t xml:space="preserve">(2)</w:t>
      </w:r>
      <w:r>
        <w:t xml:space="preserve"> </w:t>
      </w:r>
      <w:r>
        <w:rPr>
          <w:bCs/>
          <w:b/>
        </w:rPr>
        <w:t xml:space="preserve">Điều kiện chi phí thương mại kiểm soát được</w:t>
      </w:r>
      <w:r>
        <w:t xml:space="preserve"> </w:t>
      </w:r>
      <w:r>
        <w:t xml:space="preserve">(manageable trade costs): Logistics, vận tải biển/hàng không, regulations cho xuất nhập khẩu nằm trong khoảng kinh tế. Điều kiện này thỏa ở Châu Á đại lục — KHÔNG thỏa đầy đủ ở SIDS Pacific xa hub thương mại (Fiji-Auckland 2.100 km, Kiribati-Suva 2.700 km, không có direct flight thường xuyên; Vanuatu-Sydney 2.500 km);</w:t>
      </w:r>
    </w:p>
    <w:p>
      <w:pPr>
        <w:pStyle w:val="BodyText"/>
      </w:pPr>
      <w:r>
        <w:t xml:space="preserve">(3)</w:t>
      </w:r>
      <w:r>
        <w:t xml:space="preserve"> </w:t>
      </w:r>
      <w:r>
        <w:rPr>
          <w:bCs/>
          <w:b/>
        </w:rPr>
        <w:t xml:space="preserve">Điều kiện thể chế vận hành</w:t>
      </w:r>
      <w:r>
        <w:t xml:space="preserve"> </w:t>
      </w:r>
      <w:r>
        <w:t xml:space="preserve">(functional institutions): Khung pháp lý, IPR, contract enforcement, banking infrastructure ở mức tối thiểu cho hoạt động kinh doanh. Điều kiện này thỏa ở Advanced (Singapore, Korea, Israel) và Upper-middle (Trung Quốc, Malaysia) — KHÔNG thỏa đầy đủ ở SIDS isolated (Kiribati ISO 1,3%, FDI 0,7%) hay frontier conflict zones (Afghanistan, Yemen, Iraq); riêng nhóm Emerging có gap de jure–de facto lớn theo Xu (2024) gây bẫy chuyển hướng nguồn lực.</w:t>
      </w:r>
    </w:p>
    <w:p>
      <w:pPr>
        <w:pStyle w:val="BodyText"/>
      </w:pPr>
      <w:r>
        <w:rPr>
          <w:bCs/>
          <w:b/>
        </w:rPr>
        <w:t xml:space="preserve">Bảng 2.6.1</w:t>
      </w:r>
      <w:r>
        <w:t xml:space="preserve">.</w:t>
      </w:r>
      <w:r>
        <w:t xml:space="preserve"> </w:t>
      </w:r>
      <w:r>
        <w:rPr>
          <w:iCs/>
          <w:i/>
        </w:rPr>
        <w:t xml:space="preserve">Ma trận đối chiếu lý thuyết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optimal level cho hiệu quả tối đa (Lu &amp; Beamish, 2004)</w:t>
            </w:r>
          </w:p>
        </w:tc>
      </w:tr>
      <w:tr>
        <w:tc>
          <w:tcPr/>
          <w:p>
            <w:pPr>
              <w:pStyle w:val="Compact"/>
              <w:jc w:val="left"/>
            </w:pPr>
            <w:r>
              <w:rPr>
                <w:bCs/>
                <w:b/>
              </w:rPr>
              <w:t xml:space="preserve">B. Bẫy chuyển hướng nguồn lực (RDT)</w:t>
            </w:r>
          </w:p>
        </w:tc>
        <w:tc>
          <w:tcPr/>
          <w:p>
            <w:pPr>
              <w:pStyle w:val="Compact"/>
              <w:jc w:val="left"/>
            </w:pPr>
            <w:r>
              <w:t xml:space="preserve">Việt Nam, Indonesia, Trung Quốc, Mongolia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 Xu 2024)</w:t>
            </w:r>
          </w:p>
        </w:tc>
        <w:tc>
          <w:tcPr/>
          <w:p>
            <w:pPr>
              <w:pStyle w:val="Compact"/>
              <w:jc w:val="left"/>
            </w:pPr>
            <w:r>
              <w:t xml:space="preserve">U-curve vận hành nhưng có</w:t>
            </w:r>
            <w:r>
              <w:t xml:space="preserve"> </w:t>
            </w:r>
            <w:r>
              <w:rPr>
                <w:bCs/>
                <w:b/>
              </w:rPr>
              <w:t xml:space="preserve">bẫy chuyển hướng nguồn lực</w:t>
            </w:r>
            <w:r>
              <w:t xml:space="preserve"> </w:t>
            </w:r>
            <w:r>
              <w:t xml:space="preserve">(resource diversion trap) — chi phí thể chế thực thi &gt; lợi ích quốc tế hóa ở mức trung; cần ICRV phân biệt formal rules vs implementation capacity</w:t>
            </w:r>
          </w:p>
        </w:tc>
      </w:tr>
      <w:tr>
        <w:tc>
          <w:tcPr/>
          <w:p>
            <w:pPr>
              <w:pStyle w:val="Compact"/>
              <w:jc w:val="left"/>
            </w:pPr>
            <w:r>
              <w:rPr>
                <w:bCs/>
                <w:b/>
              </w:rPr>
              <w:t xml:space="preserve">C. Sự sụp đổ của đường cong</w:t>
            </w:r>
          </w:p>
        </w:tc>
        <w:tc>
          <w:tcPr/>
          <w:p>
            <w:pPr>
              <w:pStyle w:val="Compact"/>
              <w:jc w:val="left"/>
            </w:pPr>
            <w:r>
              <w:t xml:space="preserve">SIDS Pacific (Fiji, Kiribati, Tuvalu, Tonga)</w:t>
            </w:r>
          </w:p>
        </w:tc>
        <w:tc>
          <w:tcPr/>
          <w:p>
            <w:pPr>
              <w:pStyle w:val="Compact"/>
              <w:jc w:val="center"/>
            </w:pPr>
            <w:r>
              <w:t xml:space="preserve">✗</w:t>
            </w:r>
            <w:r>
              <w:t xml:space="preserve"> </w:t>
            </w:r>
            <w:r>
              <w:rPr>
                <w:iCs/>
                <w:i/>
              </w:rPr>
              <w:t xml:space="preserve">(thị trường &lt;1 triệu dân)</w:t>
            </w:r>
          </w:p>
        </w:tc>
        <w:tc>
          <w:tcPr/>
          <w:p>
            <w:pPr>
              <w:pStyle w:val="Compact"/>
              <w:jc w:val="center"/>
            </w:pPr>
            <w:r>
              <w:t xml:space="preserve">✗</w:t>
            </w:r>
            <w:r>
              <w:t xml:space="preserve"> </w:t>
            </w:r>
            <w:r>
              <w:rPr>
                <w:iCs/>
                <w:i/>
              </w:rPr>
              <w:t xml:space="preserve">(cô lập địa lý 2.000+ km tới hub)</w:t>
            </w:r>
          </w:p>
        </w:tc>
        <w:tc>
          <w:tcPr/>
          <w:p>
            <w:pPr>
              <w:pStyle w:val="Compact"/>
              <w:jc w:val="center"/>
            </w:pPr>
            <w:r>
              <w:t xml:space="preserve">⚠–✗</w:t>
            </w:r>
            <w:r>
              <w:t xml:space="preserve"> </w:t>
            </w:r>
            <w:r>
              <w:rPr>
                <w:iCs/>
                <w:i/>
              </w:rPr>
              <w:t xml:space="preserve">(ISO &lt;2%, banking limited)</w:t>
            </w:r>
          </w:p>
        </w:tc>
        <w:tc>
          <w:tcPr/>
          <w:p>
            <w:pPr>
              <w:pStyle w:val="Compact"/>
              <w:jc w:val="left"/>
            </w:pPr>
            <w:r>
              <w:rPr>
                <w:bCs/>
                <w:b/>
              </w:rPr>
              <w:t xml:space="preserve">U-curve không vận hành</w:t>
            </w:r>
            <w:r>
              <w:t xml:space="preserve"> </w:t>
            </w:r>
            <w:r>
              <w:t xml:space="preserve">— quốc tế hóa là</w:t>
            </w:r>
            <w:r>
              <w:t xml:space="preserve"> </w:t>
            </w:r>
            <w:r>
              <w:rPr>
                <w:bCs/>
                <w:b/>
              </w:rPr>
              <w:t xml:space="preserve">buộc phải</w:t>
            </w:r>
            <w:r>
              <w:t xml:space="preserve"> </w:t>
            </w:r>
            <w:r>
              <w:t xml:space="preserve">(forced internationalization penalty Briguglio 1995; Bertram 2006); Fiji 74,8% website &gt; Singapore 66% là minh chứng</w:t>
            </w:r>
          </w:p>
        </w:tc>
      </w:tr>
    </w:tbl>
    <w:p>
      <w:pPr>
        <w:pStyle w:val="BodyText"/>
      </w:pPr>
      <w:r>
        <w:rPr>
          <w:bCs/>
          <w:b/>
        </w:rPr>
        <w:t xml:space="preserve">Tham chiếu</w:t>
      </w:r>
      <w:r>
        <w:t xml:space="preserve">: Lu &amp; Beamish (2004); Briguglio (1995); Bertram (2006); Bello &amp; Kostova (2012); Cuervo-Cazurra et al. (2018); Banalieva &amp; Dhanaraj (2019); Xu (2024) cho de jure–de facto gap ở trạng thái B; NotebookLM (2026,</w:t>
      </w:r>
      <w:r>
        <w:t xml:space="preserve"> </w:t>
      </w:r>
      <w:r>
        <w:rPr>
          <w:iCs/>
          <w:i/>
        </w:rPr>
        <w:t xml:space="preserve">Bẫy đo lường số hóa Châu Á</w:t>
      </w:r>
      <w:r>
        <w:t xml:space="preserve">).</w:t>
      </w:r>
    </w:p>
    <w:p>
      <w:pPr>
        <w:pStyle w:val="BodyText"/>
      </w:pPr>
      <w:r>
        <w:t xml:space="preserve">Ma trận 3 trạng thái này thiết lập</w:t>
      </w:r>
      <w:r>
        <w:t xml:space="preserve"> </w:t>
      </w:r>
      <w:r>
        <w:rPr>
          <w:bCs/>
          <w:b/>
        </w:rPr>
        <w:t xml:space="preserve">tiền đề lý thuyết bắt buộc</w:t>
      </w:r>
      <w:r>
        <w:t xml:space="preserve"> </w:t>
      </w:r>
      <w:r>
        <w:t xml:space="preserve">cho:</w:t>
      </w:r>
    </w:p>
    <w:p>
      <w:pPr>
        <w:numPr>
          <w:ilvl w:val="0"/>
          <w:numId w:val="1004"/>
        </w:numPr>
        <w:pStyle w:val="Compact"/>
      </w:pPr>
      <w:r>
        <w:rPr>
          <w:bCs/>
          <w:b/>
        </w:rPr>
        <w:t xml:space="preserve">§3 ICRV regime classification</w:t>
      </w:r>
      <w:r>
        <w:t xml:space="preserve">: Singapore = Advanced innovation (trạng thái A); Việt Nam = Emerging (trạng thái B); SIDS Pacific = boundary case extension (trạng thái C) — tách 3 trạng thái thay vì gộp;</w:t>
      </w:r>
    </w:p>
    <w:p>
      <w:pPr>
        <w:numPr>
          <w:ilvl w:val="0"/>
          <w:numId w:val="1004"/>
        </w:numPr>
        <w:pStyle w:val="Compact"/>
      </w:pPr>
      <w:r>
        <w:rPr>
          <w:bCs/>
          <w:b/>
        </w:rPr>
        <w:t xml:space="preserve">§5.2 (Singapore archetype)</w:t>
      </w:r>
      <w:r>
        <w:t xml:space="preserve"> </w:t>
      </w:r>
      <w:r>
        <w:t xml:space="preserve">+</w:t>
      </w:r>
      <w:r>
        <w:t xml:space="preserve"> </w:t>
      </w:r>
      <w:r>
        <w:rPr>
          <w:bCs/>
          <w:b/>
        </w:rPr>
        <w:t xml:space="preserve">§5.7 (Pacific SIDS case)</w:t>
      </w:r>
      <w:r>
        <w:t xml:space="preserve"> </w:t>
      </w:r>
      <w:r>
        <w:t xml:space="preserve">trong file 16;</w:t>
      </w:r>
    </w:p>
    <w:p>
      <w:pPr>
        <w:numPr>
          <w:ilvl w:val="0"/>
          <w:numId w:val="1004"/>
        </w:numPr>
        <w:pStyle w:val="Compact"/>
      </w:pPr>
      <w:r>
        <w:rPr>
          <w:bCs/>
          <w:b/>
        </w:rPr>
        <w:t xml:space="preserve">CĐ2 H6 (forced internationalization penalty)</w:t>
      </w:r>
      <w:r>
        <w:t xml:space="preserve">: dự đoán ở SIDS Pacific (trạng thái C), FSTS KHÔNG correlate với năng suất vì U-curve không vận hành — hệ số FSTS ở SIDS sẽ không-significant hoặc đảo dấu so với Advanced/Emerging.</w:t>
      </w:r>
    </w:p>
    <w:bookmarkEnd w:id="40"/>
    <w:bookmarkStart w:id="41" w:name="X5b689c7d2dbcc4ff74ca289d1b9bebaa55c18a2"/>
    <w:p>
      <w:pPr>
        <w:pStyle w:val="Heading3"/>
      </w:pPr>
      <w:r>
        <w:t xml:space="preserve">§2.7 KHUNG 4-TIER CHUYỂN ĐỔI SỐ + MÔ HÌNH NĂNG LỰC SỐ PHỤ THUỘC BỐI CẢNH</w:t>
      </w:r>
    </w:p>
    <w:p>
      <w:pPr>
        <w:pStyle w:val="FirstParagraph"/>
      </w:pPr>
      <w:r>
        <w:t xml:space="preserve">NotebookLM critique 08/05/2026 (đối chiếu hai bản thảo của tác giả: P3 Singapore — Mar et al., 2026,</w:t>
      </w:r>
      <w:r>
        <w:t xml:space="preserve"> </w:t>
      </w:r>
      <w:r>
        <w:rPr>
          <w:iCs/>
          <w:i/>
        </w:rPr>
        <w:t xml:space="preserve">MIR</w:t>
      </w:r>
      <w:r>
        <w:t xml:space="preserve">; P4 Việt Nam — Đỗ &amp; Phan, 2026 —</w:t>
      </w:r>
      <w:r>
        <w:t xml:space="preserve"> </w:t>
      </w:r>
      <w:r>
        <w:rPr>
          <w:iCs/>
          <w:i/>
        </w:rPr>
        <w:t xml:space="preserve">APJM</w:t>
      </w:r>
      <w:r>
        <w:t xml:space="preserve">) chỉ ra một construct validity gap quan trọng: DAI đo lường trong cả 2 papers chỉ chạm tầng cơ bản (Tier 1 = website cho Việt Nam; Tier 1+2 = website + e-payment cho Singapore), trong khi lý thuyết về</w:t>
      </w:r>
      <w:r>
        <w:t xml:space="preserve"> </w:t>
      </w:r>
      <w:r>
        <w:rPr>
          <w:iCs/>
          <w:i/>
        </w:rPr>
        <w:t xml:space="preserve">super-linear coordination cost</w:t>
      </w:r>
      <w:r>
        <w:t xml:space="preserve"> </w:t>
      </w:r>
      <w:r>
        <w:t xml:space="preserve">(Brynjolfsson &amp; McAfee, 2014) đòi hỏi tầng tích hợp sâu (Tier 3) hoặc năng lực động (Tier 4). Cần thiết lập explicit</w:t>
      </w:r>
      <w:r>
        <w:t xml:space="preserve"> </w:t>
      </w:r>
      <w:r>
        <w:rPr>
          <w:bCs/>
          <w:b/>
        </w:rPr>
        <w:t xml:space="preserve">construct boundary</w:t>
      </w:r>
      <w:r>
        <w:t xml:space="preserve"> </w:t>
      </w:r>
      <w:r>
        <w:t xml:space="preserve">từ Chương 2 — trước khi báo cáo descriptive results — để phòng tránh "overclaiming" trong khi nộp Hội đồng CTU + tránh "desk-reject" khi submit Q1/Q2 IB journals.</w:t>
      </w:r>
    </w:p>
    <w:p>
      <w:pPr>
        <w:pStyle w:val="BodyText"/>
      </w:pPr>
      <w:r>
        <w:rPr>
          <w:bCs/>
          <w:b/>
        </w:rPr>
        <w:t xml:space="preserve">Bốn tầng bậc số hóa theo Verhoef et al. (2021 —</w:t>
      </w:r>
      <w:r>
        <w:rPr>
          <w:bCs/>
          <w:b/>
        </w:rPr>
        <w:t xml:space="preserve"> </w:t>
      </w:r>
      <w:r>
        <w:rPr>
          <w:iCs/>
          <w:i/>
          <w:bCs/>
          <w:b/>
        </w:rPr>
        <w:t xml:space="preserve">Journal of Business Research</w:t>
      </w:r>
      <w:r>
        <w:rPr>
          <w:bCs/>
          <w:b/>
        </w:rPr>
        <w:t xml:space="preserv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Tầng</w:t>
            </w:r>
          </w:p>
        </w:tc>
        <w:tc>
          <w:tcPr/>
          <w:p>
            <w:pPr>
              <w:pStyle w:val="Compact"/>
              <w:jc w:val="left"/>
            </w:pPr>
            <w:r>
              <w:t xml:space="preserve">Tên (Việt)</w:t>
            </w:r>
          </w:p>
        </w:tc>
        <w:tc>
          <w:tcPr/>
          <w:p>
            <w:pPr>
              <w:pStyle w:val="Compact"/>
              <w:jc w:val="left"/>
            </w:pPr>
            <w:r>
              <w:t xml:space="preserve">Tên (Anh)</w:t>
            </w:r>
          </w:p>
        </w:tc>
        <w:tc>
          <w:tcPr/>
          <w:p>
            <w:pPr>
              <w:pStyle w:val="Compact"/>
              <w:jc w:val="left"/>
            </w:pPr>
            <w:r>
              <w:t xml:space="preserve">Đại diện đo lường</w:t>
            </w:r>
          </w:p>
        </w:tc>
        <w:tc>
          <w:tcPr/>
          <w:p>
            <w:pPr>
              <w:pStyle w:val="Compact"/>
              <w:jc w:val="left"/>
            </w:pPr>
            <w:r>
              <w:t xml:space="preserve">Quan sát được trong WBES?</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rPr>
                <w:iCs/>
                <w:i/>
              </w:rPr>
              <w:t xml:space="preserve">Digital Presence</w:t>
            </w:r>
          </w:p>
        </w:tc>
        <w:tc>
          <w:tcPr/>
          <w:p>
            <w:pPr>
              <w:pStyle w:val="Compact"/>
              <w:jc w:val="left"/>
            </w:pPr>
            <w:r>
              <w:t xml:space="preserve">website binary, email</w:t>
            </w:r>
          </w:p>
        </w:tc>
        <w:tc>
          <w:tcPr/>
          <w:p>
            <w:pPr>
              <w:pStyle w:val="Compact"/>
              <w:jc w:val="left"/>
            </w:pPr>
            <w:r>
              <w:t xml:space="preserve">✓ Có (toàn pool 2009-2025)</w:t>
            </w:r>
          </w:p>
        </w:tc>
      </w:tr>
      <w:tr>
        <w:tc>
          <w:tcPr/>
          <w:p>
            <w:pPr>
              <w:pStyle w:val="Compact"/>
              <w:jc w:val="left"/>
            </w:pPr>
            <w:r>
              <w:rPr>
                <w:bCs/>
                <w:b/>
              </w:rPr>
              <w:t xml:space="preserve">Tier 2</w:t>
            </w:r>
          </w:p>
        </w:tc>
        <w:tc>
          <w:tcPr/>
          <w:p>
            <w:pPr>
              <w:pStyle w:val="Compact"/>
              <w:jc w:val="left"/>
            </w:pPr>
            <w:r>
              <w:t xml:space="preserve">Giao tiếp số + thương mại điện tử cơ bản</w:t>
            </w:r>
          </w:p>
        </w:tc>
        <w:tc>
          <w:tcPr/>
          <w:p>
            <w:pPr>
              <w:pStyle w:val="Compact"/>
              <w:jc w:val="left"/>
            </w:pPr>
            <w:r>
              <w:rPr>
                <w:iCs/>
                <w:i/>
              </w:rPr>
              <w:t xml:space="preserve">Digital communication + basic e-commerce</w:t>
            </w:r>
          </w:p>
        </w:tc>
        <w:tc>
          <w:tcPr/>
          <w:p>
            <w:pPr>
              <w:pStyle w:val="Compact"/>
              <w:jc w:val="left"/>
            </w:pPr>
            <w:r>
              <w:t xml:space="preserve">e-payment intensity (k33, k38), online ordering</w:t>
            </w:r>
          </w:p>
        </w:tc>
        <w:tc>
          <w:tcPr/>
          <w:p>
            <w:pPr>
              <w:pStyle w:val="Compact"/>
              <w:jc w:val="left"/>
            </w:pPr>
            <w:r>
              <w:t xml:space="preserve">✓ 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rPr>
                <w:iCs/>
                <w:i/>
              </w:rPr>
              <w:t xml:space="preserve">Digital process integration</w:t>
            </w:r>
          </w:p>
        </w:tc>
        <w:tc>
          <w:tcPr/>
          <w:p>
            <w:pPr>
              <w:pStyle w:val="Compact"/>
              <w:jc w:val="left"/>
            </w:pPr>
            <w:r>
              <w:t xml:space="preserve">ERP, CRM, supply-chain digitization</w:t>
            </w:r>
          </w:p>
        </w:tc>
        <w:tc>
          <w:tcPr/>
          <w:p>
            <w:pPr>
              <w:pStyle w:val="Compact"/>
              <w:jc w:val="left"/>
            </w:pPr>
            <w:r>
              <w:t xml:space="preserve">✗ KHÔNG quan sát</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rPr>
                <w:iCs/>
                <w:i/>
              </w:rPr>
              <w:t xml:space="preserve">Dynamic digital capability</w:t>
            </w:r>
          </w:p>
        </w:tc>
        <w:tc>
          <w:tcPr/>
          <w:p>
            <w:pPr>
              <w:pStyle w:val="Compact"/>
              <w:jc w:val="left"/>
            </w:pPr>
            <w:r>
              <w:t xml:space="preserve">AI integration, platform orchestration, data-driven decision</w:t>
            </w:r>
          </w:p>
        </w:tc>
        <w:tc>
          <w:tcPr/>
          <w:p>
            <w:pPr>
              <w:pStyle w:val="Compact"/>
              <w:jc w:val="left"/>
            </w:pPr>
            <w:r>
              <w:t xml:space="preserve">✗ KHÔNG quan sát</w:t>
            </w:r>
          </w:p>
        </w:tc>
      </w:tr>
    </w:tbl>
    <w:p>
      <w:pPr>
        <w:pStyle w:val="BodyText"/>
      </w:pPr>
      <w:r>
        <w:rPr>
          <w:bCs/>
          <w:b/>
        </w:rPr>
        <w:t xml:space="preserve">Tuyên bố ranh giới đo lường (Construct Boundary Statement)</w:t>
      </w:r>
      <w:r>
        <w:t xml:space="preserve">: Pool 101.185 doanh nghiệp WBES quan sát Tier 1-2 (website cho toàn giai đoạn; e-payment cho wave BREADY 2018+). KHÔNG quan sát Tier 3-4. Do đó, mọi lập luận về "năng lực số" trong CĐ1 + papers IB thuộc luận án phải hạn chế ở phạm vi</w:t>
      </w:r>
      <w:r>
        <w:t xml:space="preserve"> </w:t>
      </w:r>
      <w:r>
        <w:rPr>
          <w:bCs/>
          <w:b/>
        </w:rPr>
        <w:t xml:space="preserve">Foundational Digital Adoption (FDA)</w:t>
      </w:r>
      <w:r>
        <w:t xml:space="preserve">, KHÔNG mở rộng thành "Digital Capability" hay "Digital Transformation". Đây là tiêu chuẩn nhất quán xuyên CĐ1 / CĐ2 / luận án 5 chương.</w:t>
      </w:r>
    </w:p>
    <w:p>
      <w:pPr>
        <w:pStyle w:val="BodyText"/>
      </w:pPr>
      <w:r>
        <w:rPr>
          <w:bCs/>
          <w:b/>
        </w:rPr>
        <w:t xml:space="preserve">Mô hình Năng lực số phụ thuộc bối cảnh (Context-Contingent Digital Capability Model — CDCM)</w:t>
      </w:r>
      <w:r>
        <w:t xml:space="preserve"> </w:t>
      </w:r>
      <w:r>
        <w:t xml:space="preserve">— đóng góp lý thuyết MỚI hợp nhất hai papers:</w:t>
      </w:r>
    </w:p>
    <w:p>
      <w:pPr>
        <w:pStyle w:val="BodyText"/>
      </w:pPr>
      <w:r>
        <w:t xml:space="preserve">CDCM hợp nhất phát hiện Singapore P3 (Mar et al., 2026) + Việt Nam P4 (Đỗ &amp; Phan, 2026 —</w:t>
      </w:r>
      <w:r>
        <w:t xml:space="preserve"> </w:t>
      </w:r>
      <w:r>
        <w:rPr>
          <w:iCs/>
          <w:i/>
        </w:rPr>
        <w:t xml:space="preserve">APJM</w:t>
      </w:r>
      <w:r>
        <w:t xml:space="preserve">) thành một khung xuyên quốc gia 3 chiều:</w:t>
      </w:r>
    </w:p>
    <w:p>
      <w:pPr>
        <w:pStyle w:val="BodyText"/>
      </w:pPr>
      <w:r>
        <w:rPr>
          <w:bCs/>
          <w:b/>
        </w:rPr>
        <w:t xml:space="preserve">(a) Hình dáng đường cong I-P (Internationalization-Performance)</w:t>
      </w:r>
      <w:r>
        <w:t xml:space="preserve">: Việt Nam → Inverted-U rõ nét, điểm uốn (TP) ≈ 39-46% FSTS xuyên 3 wave 2009-2023; Lind-Mehlum p&lt;0,013. Singapore → tuyến tính dương + bậc hai nhẹ, TP ≈ 82% FSTS (vùng dữ liệu thưa, 3,2% firms vượt 70% FSTS); Lind-Mehlum p=0,303 KHÔNG xác nhận.</w:t>
      </w:r>
    </w:p>
    <w:p>
      <w:pPr>
        <w:pStyle w:val="BodyText"/>
      </w:pPr>
      <w:r>
        <w:rPr>
          <w:bCs/>
          <w:b/>
        </w:rPr>
        <w:t xml:space="preserve">(b) Cơ chế DAI</w:t>
      </w:r>
      <w:r>
        <w:t xml:space="preserve">: Việt Nam (Tier 1 = website only) →</w:t>
      </w:r>
      <w:r>
        <w:t xml:space="preserve"> </w:t>
      </w:r>
      <w:r>
        <w:rPr>
          <w:bCs/>
          <w:b/>
        </w:rPr>
        <w:t xml:space="preserve">stage-contingent</w:t>
      </w:r>
      <w:r>
        <w:t xml:space="preserve">: mạnh 2009 → vô tác dụng 2015 → phục hồi 2023 nhưng tương tác DAI×FSTS mang dấu âm (β=-0,912, p=,043) ở mức xuất khẩu cao → Tier 1 trở thành</w:t>
      </w:r>
      <w:r>
        <w:t xml:space="preserve"> </w:t>
      </w:r>
      <w:r>
        <w:rPr>
          <w:bCs/>
          <w:b/>
        </w:rPr>
        <w:t xml:space="preserve">điểm nghẽn</w:t>
      </w:r>
      <w:r>
        <w:t xml:space="preserve">. Singapore (Tier 1+2 = website + e-payment) →</w:t>
      </w:r>
      <w:r>
        <w:t xml:space="preserve"> </w:t>
      </w:r>
      <w:r>
        <w:rPr>
          <w:bCs/>
          <w:b/>
        </w:rPr>
        <w:t xml:space="preserve">conditional scaling</w:t>
      </w:r>
      <w:r>
        <w:t xml:space="preserve">: tương tác DAI×FSTS² dương mạnh (β=3,119, p=,005) → Tier 1+2 trở thành</w:t>
      </w:r>
      <w:r>
        <w:t xml:space="preserve"> </w:t>
      </w:r>
      <w:r>
        <w:rPr>
          <w:bCs/>
          <w:b/>
        </w:rPr>
        <w:t xml:space="preserve">đòn bẩy</w:t>
      </w:r>
      <w:r>
        <w:t xml:space="preserve"> </w:t>
      </w:r>
      <w:r>
        <w:t xml:space="preserve">ở xuất khẩu cao.</w:t>
      </w:r>
    </w:p>
    <w:p>
      <w:pPr>
        <w:pStyle w:val="BodyText"/>
      </w:pPr>
      <w:r>
        <w:rPr>
          <w:bCs/>
          <w:b/>
        </w:rPr>
        <w:t xml:space="preserve">(c) Vai trò TCI (Năng lực công nghệ)</w:t>
      </w:r>
      <w:r>
        <w:t xml:space="preserve">: Việt Nam —</w:t>
      </w:r>
      <w:r>
        <w:t xml:space="preserve"> </w:t>
      </w:r>
      <w:r>
        <w:rPr>
          <w:iCs/>
          <w:i/>
        </w:rPr>
        <w:t xml:space="preserve">scarce advantage</w:t>
      </w:r>
      <w:r>
        <w:t xml:space="preserve"> </w:t>
      </w:r>
      <w:r>
        <w:t xml:space="preserve">giúp doanh nghiệp vượt rào cản quốc tế hóa (TCIz IV β=1,639, p&lt;,001 robust 2SLS — Đỗ &amp; Phan, 2026 —</w:t>
      </w:r>
      <w:r>
        <w:t xml:space="preserve"> </w:t>
      </w:r>
      <w:r>
        <w:rPr>
          <w:iCs/>
          <w:i/>
        </w:rPr>
        <w:t xml:space="preserve">APJM</w:t>
      </w:r>
      <w:r>
        <w:t xml:space="preserve">). Singapore —</w:t>
      </w:r>
      <w:r>
        <w:t xml:space="preserve"> </w:t>
      </w:r>
      <w:r>
        <w:rPr>
          <w:iCs/>
          <w:i/>
        </w:rPr>
        <w:t xml:space="preserve">hygiene factor</w:t>
      </w:r>
      <w:r>
        <w:t xml:space="preserve"> </w:t>
      </w:r>
      <w:r>
        <w:t xml:space="preserve">nâng cao productivity floor nhưng KHÔNG điều tiết I-P curve.</w:t>
      </w:r>
    </w:p>
    <w:p>
      <w:pPr>
        <w:pStyle w:val="BodyText"/>
      </w:pPr>
      <w:r>
        <w:rPr>
          <w:bCs/>
          <w:b/>
        </w:rPr>
        <w:t xml:space="preserve">Lý giải xuyên quốc gia — Institutional Transaction Costs (TCE Coase-Williamson, mở rộng Banalieva &amp; Dhanaraj 2019)</w:t>
      </w:r>
      <w:r>
        <w:t xml:space="preserve">: Ở Việt Nam, hạ tầng thương mại số yếu khiến chi phí điều phối xuyên biên giới tăng vọt ở mức xuất khẩu trung bình (TP 39-46%). Ở Singapore, hạ tầng số + logistics đã hấp thụ phần lớn chi phí này, đẩy ranh giới quá tải (overload) về vùng FSTS cực cao (~82%).</w:t>
      </w:r>
    </w:p>
    <w:p>
      <w:pPr>
        <w:pStyle w:val="BodyText"/>
      </w:pPr>
      <w:r>
        <w:rPr>
          <w:bCs/>
          <w:b/>
        </w:rPr>
        <w:t xml:space="preserve">Hàm ý phương pháp luận cho CĐ2 + luận án</w:t>
      </w:r>
      <w:r>
        <w:t xml:space="preserve">:</w:t>
      </w:r>
    </w:p>
    <w:p>
      <w:pPr>
        <w:numPr>
          <w:ilvl w:val="0"/>
          <w:numId w:val="1005"/>
        </w:numPr>
        <w:pStyle w:val="Compact"/>
      </w:pPr>
      <w:r>
        <w:rPr>
          <w:bCs/>
          <w:b/>
        </w:rPr>
        <w:t xml:space="preserve">Specification 1</w:t>
      </w:r>
      <w:r>
        <w:t xml:space="preserve"> </w:t>
      </w:r>
      <w:r>
        <w:t xml:space="preserve">(Tier 1-only website, full pool 2009-2025): expected hệ số DAI âm hoặc null ở Advanced phân nhóm innovation-driven do bão hòa Tier 1 (xem §1.5 contribution #3 + §4.4.5 ICT exclusion test file 15);</w:t>
      </w:r>
    </w:p>
    <w:p>
      <w:pPr>
        <w:numPr>
          <w:ilvl w:val="0"/>
          <w:numId w:val="1005"/>
        </w:numPr>
        <w:pStyle w:val="Compact"/>
      </w:pPr>
      <w:r>
        <w:rPr>
          <w:bCs/>
          <w:b/>
        </w:rPr>
        <w:t xml:space="preserve">Specification 2</w:t>
      </w:r>
      <w:r>
        <w:t xml:space="preserve"> </w:t>
      </w:r>
      <w:r>
        <w:t xml:space="preserve">(Tier 1+2 multi-component, BREADY 2018+ wave): expected positive coefficient + interaction với FSTS² dương ở Advanced — replication pattern Singapore P3;</w:t>
      </w:r>
    </w:p>
    <w:p>
      <w:pPr>
        <w:numPr>
          <w:ilvl w:val="0"/>
          <w:numId w:val="1005"/>
        </w:numPr>
        <w:pStyle w:val="Compact"/>
      </w:pPr>
      <w:r>
        <w:rPr>
          <w:bCs/>
          <w:b/>
        </w:rPr>
        <w:t xml:space="preserve">Robustness check #10</w:t>
      </w:r>
      <w:r>
        <w:t xml:space="preserve"> </w:t>
      </w:r>
      <w:r>
        <w:t xml:space="preserve">(mới): cross-validation construct boundary — chạy Spec 2 chỉ ở 41 nước có đủ Tier 1+2 data (BREADY+ wave); confirm rằng pattern Singapore-style emerges khi có composite digital adoption metric;</w:t>
      </w:r>
    </w:p>
    <w:p>
      <w:pPr>
        <w:numPr>
          <w:ilvl w:val="0"/>
          <w:numId w:val="1005"/>
        </w:numPr>
        <w:pStyle w:val="Compact"/>
      </w:pPr>
      <w:r>
        <w:rPr>
          <w:bCs/>
          <w:b/>
        </w:rPr>
        <w:t xml:space="preserve">Hạn chế minh bạch (Limitations)</w:t>
      </w:r>
      <w:r>
        <w:t xml:space="preserve">: WBES không quan sát Tier 3 (ERP/CRM) và Tier 4 (AI). Đề xuất nghiên cứu tương lai sử dụng panel data đo trực tiếp các hệ thống ERP/AI để xác định ranh giới giữa "đòn bẩy" (lever) và "điểm nghẽn" (bottleneck) của số hóa theo cấp tầng và cường độ xuất khẩu.</w:t>
      </w:r>
    </w:p>
    <w:p>
      <w:pPr>
        <w:pStyle w:val="FirstParagraph"/>
      </w:pPr>
      <w:r>
        <w:rPr>
          <w:bCs/>
          <w:b/>
        </w:rPr>
        <w:t xml:space="preserve">Tham chiếu</w:t>
      </w:r>
      <w:r>
        <w:t xml:space="preserve">: Verhoef et al. (2021); Bharadwaj et al. (2013); Brynjolfsson &amp; McAfee (2014); Mar et al. (2026 — P3 Singapore manuscript,</w:t>
      </w:r>
      <w:r>
        <w:t xml:space="preserve"> </w:t>
      </w:r>
      <w:r>
        <w:rPr>
          <w:iCs/>
          <w:i/>
        </w:rPr>
        <w:t xml:space="preserve">MIR</w:t>
      </w:r>
      <w:r>
        <w:t xml:space="preserve"> </w:t>
      </w:r>
      <w:r>
        <w:t xml:space="preserve">under review); Đỗ &amp; Phan (2026 — P4 Việt Nam —</w:t>
      </w:r>
      <w:r>
        <w:t xml:space="preserve"> </w:t>
      </w:r>
      <w:r>
        <w:rPr>
          <w:iCs/>
          <w:i/>
        </w:rPr>
        <w:t xml:space="preserve">APJM</w:t>
      </w:r>
      <w:r>
        <w:t xml:space="preserve">); NotebookLM (08/05/2026,</w:t>
      </w:r>
      <w:r>
        <w:t xml:space="preserve"> </w:t>
      </w:r>
      <w:r>
        <w:rPr>
          <w:iCs/>
          <w:i/>
        </w:rPr>
        <w:t xml:space="preserve">Digital Scaling and Performance in Singapore's Global Firms</w:t>
      </w:r>
      <w:r>
        <w:t xml:space="preserve">); Coase (1937); Williamson (1985); Banalieva &amp; Dhanaraj (2019).</w:t>
      </w:r>
    </w:p>
    <w:p>
      <w:r>
        <w:pict>
          <v:rect style="width:0;height:1.5pt" o:hralign="center" o:hrstd="t" o:hr="t"/>
        </w:pict>
      </w:r>
    </w:p>
    <w:bookmarkEnd w:id="41"/>
    <w:bookmarkEnd w:id="42"/>
    <w:bookmarkStart w:id="43" w:name="X88846fb419345082f0ac77ff5bd76369640769c"/>
    <w:p>
      <w:pPr>
        <w:pStyle w:val="Heading2"/>
      </w:pPr>
      <w:r>
        <w:t xml:space="preserve">CHƯƠNG 3 — KHUNG PHÂN LOẠI 6 PHÂN NHÓM CON ICRV</w:t>
      </w:r>
    </w:p>
    <w:p>
      <w:pPr>
        <w:pStyle w:val="FirstParagraph"/>
      </w:pPr>
      <w:r>
        <w:t xml:space="preserve">(Giữ nguyên từ v3.1b — xem commit</w:t>
      </w:r>
      <w:r>
        <w:t xml:space="preserve"> </w:t>
      </w:r>
      <w:r>
        <w:rPr>
          <w:rStyle w:val="VerbatimChar"/>
        </w:rPr>
        <w:t xml:space="preserve">cd4276a</w:t>
      </w:r>
      <w:r>
        <w:t xml:space="preserve"> </w:t>
      </w:r>
      <w:r>
        <w:t xml:space="preserve">cho §3.1-§3.5 đầy đủ với Bảng 3.1, 3.2 và logic phân nhóm con. Note v3.3: SIDS Pacific row giữ nguyên với clarification trong §1.3 rằng đây là boundary extension.)</w:t>
      </w:r>
    </w:p>
    <w:p>
      <w:r>
        <w:pict>
          <v:rect style="width:0;height:1.5pt" o:hralign="center" o:hrstd="t" o:hr="t"/>
        </w:pict>
      </w:r>
    </w:p>
    <w:bookmarkEnd w:id="43"/>
    <w:bookmarkStart w:id="44" w:name="X95aae0d8593ff0d47f5fd36881a6c39072d65dc"/>
    <w:p>
      <w:pPr>
        <w:pStyle w:val="Heading2"/>
      </w:pPr>
      <w:r>
        <w:t xml:space="preserve">PHỤ LỤC H — BẢNG THUẬT NGỮ ANH-VIỆT (RÚT GỌN)</w:t>
      </w:r>
    </w:p>
    <w:p>
      <w:pPr>
        <w:pStyle w:val="FirstParagraph"/>
      </w:pPr>
      <w:r>
        <w:t xml:space="preserve">(Giữ nguyên từ v3.0 — xem commit</w:t>
      </w:r>
      <w:r>
        <w:t xml:space="preserve"> </w:t>
      </w:r>
      <w:r>
        <w:rPr>
          <w:rStyle w:val="VerbatimChar"/>
        </w:rPr>
        <w:t xml:space="preserve">e855de9</w:t>
      </w:r>
      <w:r>
        <w:t xml:space="preserve"> </w:t>
      </w:r>
      <w:r>
        <w:t xml:space="preserve">cho 6 nhóm thuật ngữ + Hán-Việt mapping. Phiên bản đầy đủ v1.2:</w:t>
      </w:r>
      <w:r>
        <w:t xml:space="preserve"> </w:t>
      </w:r>
      <w:r>
        <w:rPr>
          <w:rStyle w:val="VerbatimChar"/>
        </w:rPr>
        <w:t xml:space="preserve">thesis/09b_vn_term_glossary.md</w:t>
      </w:r>
      <w:r>
        <w:t xml:space="preserve">.)</w:t>
      </w:r>
    </w:p>
    <w:p>
      <w:r>
        <w:pict>
          <v:rect style="width:0;height:1.5pt" o:hralign="center" o:hrstd="t" o:hr="t"/>
        </w:pict>
      </w:r>
    </w:p>
    <w:p>
      <w:pPr>
        <w:pStyle w:val="FirstParagraph"/>
      </w:pPr>
      <w:r>
        <w:rPr>
          <w:iCs/>
          <w:i/>
        </w:rPr>
        <w:t xml:space="preserve">Tiếp tục ở Phần 2 (Chương 4 — thực trạng từ dữ liệu WBES với pool 101.185 doanh nghiệp) trong file</w:t>
      </w:r>
      <w:r>
        <w:rPr>
          <w:iCs/>
          <w:i/>
        </w:rPr>
        <w:t xml:space="preserve"> </w:t>
      </w:r>
      <w:r>
        <w:rPr>
          <w:rStyle w:val="VerbatimChar"/>
          <w:iCs/>
          <w:i/>
        </w:rPr>
        <w:t xml:space="preserve">thesis/15_cd1_part2_findings_vi.md</w:t>
      </w:r>
      <w:r>
        <w:rPr>
          <w:iCs/>
          <w:i/>
        </w:rPr>
        <w:t xml:space="preserve">.</w:t>
      </w:r>
    </w:p>
    <w:bookmarkEnd w:id="44"/>
    <w:bookmarkEnd w:id="4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2026-05-13T17:16:27Z</dcterms:created>
  <dcterms:modified xsi:type="dcterms:W3CDTF">2026-05-13T17:16:27Z</dcterms:modified>
</cp:coreProperties>
</file>

<file path=docProps/custom.xml><?xml version="1.0" encoding="utf-8"?>
<Properties xmlns="http://schemas.openxmlformats.org/officeDocument/2006/custom-properties" xmlns:vt="http://schemas.openxmlformats.org/officeDocument/2006/docPropsVTypes"/>
</file>