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are used to estimate wave-specific and pooled OLS models with HC1 robust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structurally durable 7-percentage-point band sustained across 14 years of institutional change. The nonlinearity is primarily a participation-margin effect: re-estimated on the exporter-only sub-sample, the quadratic term loses statistical significance (β = −0.200, p = .660), and fewer than 1% of pooled firms lie within ±5 percentage points of the turning point.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and demonstrates that pooled digital coefficients on a Tier-1 binary mask progressive proxy obsolescence.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1"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(TCI_z) is positively associated with</w:t>
      </w:r>
      <w:r>
        <w:t xml:space="preserve"> </w:t>
      </w:r>
      <w:r>
        <w:t xml:space="preserve">firm performance in Vietnam.</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0"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FSTS_c2 )</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The independent variable (internationalisation, FSTS_c and FSTS_c²) and the dependent variable (firm performance, ln labour productivity) anchor the IV–DV spine. Technological capability (TCI_z) enters as a direct effect (H2) and as a moderator of the FSTS curve (H2 moderation). Baseline website-presence (DAI_z, Tier 1 only) is retained as a baseline digital-presence control rather than a formal hypothesis-bearing construct; any DAI moderation of the export-intensity curve is reported as an exploratory probe (H4) on the limited information that a single binary website indicator can support across the 2009 / 2015 / 2023 waves. Controls are entered additively. Wave fixed effects apply to the pooled specification only.</w:t>
      </w:r>
    </w:p>
    <w:bookmarkEnd w:id="30"/>
    <w:bookmarkEnd w:id="31"/>
    <w:bookmarkStart w:id="36" w:name="Xfd2f05febb90fd7f58b14547dd9b33901f267a5"/>
    <w:p>
      <w:pPr>
        <w:pStyle w:val="Heading2"/>
      </w:pPr>
      <w:r>
        <w:t xml:space="preserve">3. Data, variables, and empirical strategy</w:t>
      </w:r>
    </w:p>
    <w:bookmarkStart w:id="32"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w:t>
      </w:r>
    </w:p>
    <w:p>
      <w:pPr>
        <w:pStyle w:val="BodyText"/>
      </w:pPr>
      <w:r>
        <w:t xml:space="preserve">(FSTS_c )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w:t>
      </w:r>
      <w:r>
        <w:t xml:space="preserve"> </w:t>
      </w:r>
      <w:r>
        <w:t xml:space="preserve">annual sales and l1 is permanent full-time employees. Internationalisation is FSTS = d3c / 100,</w:t>
      </w:r>
    </w:p>
    <w:p>
      <w:pPr>
        <w:pStyle w:val="BodyText"/>
      </w:pPr>
      <w:r>
        <w:t xml:space="preserve">mean-centred within wave (FSTS_c) and squared (FSTS_c ).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w:t>
      </w:r>
    </w:p>
    <w:p>
      <w:pPr>
        <w:pStyle w:val="BodyText"/>
      </w:pPr>
      <w:r>
        <w:t xml:space="preserve">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t xml:space="preserve">Controls are standard. Firm size lnEmp =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3"/>
    <w:bookmarkStart w:id="34"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w:t>
      </w:r>
      <w:r>
        <w:t xml:space="preserve"> </w:t>
      </w:r>
      <w:r>
        <w:t xml:space="preserve">squares with HC1 robust standard errors. A control model establishes the baseline. A linear</w:t>
      </w:r>
      <w:r>
        <w:t xml:space="preserve"> </w:t>
      </w:r>
      <w:r>
        <w:t xml:space="preserve">internationalisation model then introduces FSTS_c. A nonlinear model adds the quadratic term</w:t>
      </w:r>
      <w:r>
        <w:t xml:space="preserve"> </w:t>
      </w:r>
      <w:r>
        <w:t xml:space="preserve">FSTS_c</w:t>
      </w:r>
    </w:p>
    <w:p>
      <w:pPr>
        <w:pStyle w:val="BodyText"/>
      </w:pPr>
      <w:r>
        <w:t xml:space="preserve">2 to test for curvature. Additional models introduce TCI_z and DAI_z separately, first</w:t>
      </w:r>
    </w:p>
    <w:p>
      <w:pPr>
        <w:pStyle w:val="BodyText"/>
      </w:pPr>
      <w:r>
        <w:t xml:space="preserve">in specifications that allow interaction terms with FSTS_c and FSTS_c , and then in directeffect specifications. The final full model includes the nonlinear internationalisation terms, both</w:t>
      </w:r>
      <w:r>
        <w:t xml:space="preserve"> </w:t>
      </w:r>
      <w:r>
        <w:t xml:space="preserve">direct capability measures, and the interaction terms involving digital adoption.</w:t>
      </w:r>
      <w:r>
        <w:t xml:space="preserve"> </w:t>
      </w:r>
      <w:r>
        <w:t xml:space="preserve">This design separates three analytical questions.</w:t>
      </w:r>
    </w:p>
    <w:p>
      <w:pPr>
        <w:pStyle w:val="BodyText"/>
      </w:pPr>
      <w:r>
        <w:t xml:space="preserve">First, is the I–P relationship nonlinear?</w:t>
      </w:r>
    </w:p>
    <w:p>
      <w:pPr>
        <w:pStyle w:val="BodyText"/>
      </w:pPr>
      <w:r>
        <w:t xml:space="preserve">Second, are TCI_z and DAI_z directly associated with performance? Third, does the role of</w:t>
      </w:r>
      <w:r>
        <w:t xml:space="preserve"> </w:t>
      </w:r>
      <w:r>
        <w:t xml:space="preserve">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4"/>
    <w:bookmarkStart w:id="35" w:name="X9c2f12e6692d10d70bc33fdcd8ef5cde146d046"/>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5"/>
    <w:bookmarkEnd w:id="36"/>
    <w:bookmarkStart w:id="44" w:name="X121719332867ee227f0a04b486098cee978c6e6"/>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8"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w:t>
      </w:r>
      <w:r>
        <w:t xml:space="preserve"> </w:t>
      </w:r>
      <w:r>
        <w:t xml:space="preserve">joint p = .040; FSTS_c × TCI_z = -0.579, p = .087), but DAI moderation is not (M4 joint</w:t>
      </w:r>
    </w:p>
    <w:p>
      <w:pPr>
        <w:pStyle w:val="BodyText"/>
      </w:pPr>
      <w:r>
        <w:t xml:space="preserve">Table 1: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37">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w:r>
        <w:t xml:space="preserve">FSTS_c β = 1.159 (p = .029) and FSTS_c</w:t>
      </w:r>
    </w:p>
    <w:p>
      <w:pPr>
        <w:pStyle w:val="BodyText"/>
      </w:pPr>
      <w:r>
        <w:t xml:space="preserve">.009.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(FSTS_c β = 0.962, p = .039; FSTS_c 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(TCI_z β = 0.123, p = .006; DAI_z β = 0.095, p = .038). When the DAI interaction</w:t>
      </w:r>
      <w:r>
        <w:t xml:space="preserve"> </w:t>
      </w:r>
      <w:r>
        <w:t xml:space="preserve">terms are added in M8, the linear interaction is negative and individually significant (FSTS_c</w:t>
      </w:r>
    </w:p>
    <w:p>
      <w:pPr>
        <w:pStyle w:val="BodyText"/>
      </w:pPr>
      <w:r>
        <w:t xml:space="preserve">× DAI_z = -0.912, p = .043), the quadratic interaction is positive and marginal (FSTS_c2 ×</w:t>
      </w:r>
      <w:r>
        <w:t xml:space="preserve"> </w:t>
      </w:r>
      <w:r>
        <w:t xml:space="preserve">DAI_z =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(FSTS_c</w:t>
      </w:r>
      <w:r>
        <w:t xml:space="preserve"> </w:t>
      </w:r>
      <w:r>
        <w:t xml:space="preserve">compresses entirely:</w:t>
      </w:r>
    </w:p>
    <w:p>
      <w:pPr>
        <w:pStyle w:val="BodyText"/>
      </w:pPr>
      <w:r>
        <w:t xml:space="preserve">DAI_z 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38"/>
    <w:bookmarkStart w:id="39"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 FSTS_c term is positive (β = 0.984, p</w:t>
      </w:r>
    </w:p>
    <w:p>
      <w:pPr>
        <w:pStyle w:val="BodyText"/>
      </w:pPr>
      <w:r>
        <w:t xml:space="preserve">2 term is negative (β = -1.909, p &lt; .001); the Lind–Mehlum</w:t>
      </w:r>
    </w:p>
    <w:p>
      <w:pPr>
        <w:pStyle w:val="BodyText"/>
      </w:pPr>
      <w:r>
        <w:t xml:space="preserve">&lt; .001) and the quadratic FSTS_c</w:t>
      </w:r>
    </w:p>
    <w:p>
      <w:pPr>
        <w:pStyle w:val="BodyText"/>
      </w:pPr>
      <w:r>
        <w:t xml:space="preserve">test rejects monotonicity at p &lt; .001 with an estimated turning point at 39.7 per cent of directexport intensity. The curvature persists in the full M8 specification (FSTS_c β = 0.845, p = .006;</w:t>
      </w:r>
      <w:r>
        <w:t xml:space="preserve"> </w:t>
      </w:r>
      <w:r>
        <w:t xml:space="preserve">FSTS_c</w:t>
      </w:r>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 TCI_z is positive (β = 0.179, p &lt; .001), and DAI_z is positive</w:t>
      </w:r>
      <w:r>
        <w:t xml:space="preserve"> </w:t>
      </w:r>
      <w:r>
        <w:t xml:space="preserve">and significant (β = 0.078, p = .004).</w:t>
      </w:r>
    </w:p>
    <w:p>
      <w:pPr>
        <w:pStyle w:val="BodyText"/>
      </w:pPr>
      <w:r>
        <w:t xml:space="preserve">In the full M8 specification, the TCI_z coefficient is</w:t>
      </w:r>
    </w:p>
    <w:p>
      <w:pPr>
        <w:pStyle w:val="BodyText"/>
      </w:pPr>
      <w:r>
        <w:t xml:space="preserve">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w:t>
      </w:r>
    </w:p>
    <w:p>
      <w:pPr>
        <w:pStyle w:val="BodyText"/>
      </w:pPr>
      <w:r>
        <w:t xml:space="preserve">The linear</w:t>
      </w:r>
    </w:p>
    <w:p>
      <w:pPr>
        <w:pStyle w:val="BodyText"/>
      </w:pPr>
      <w:r>
        <w:t xml:space="preserve">interaction is negative but not individually significant (FSTS_c × DAI_z = -0.448, p = .116),</w:t>
      </w:r>
      <w:r>
        <w:t xml:space="preserve"> </w:t>
      </w:r>
      <w:r>
        <w:t xml:space="preserve">and the quadratic interaction is positive but not significant (FSTS_c</w:t>
      </w:r>
    </w:p>
    <w:p>
      <w:pPr>
        <w:pStyle w:val="BodyText"/>
      </w:pPr>
      <w:r>
        <w:t xml:space="preserve">2 × DAI_z =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 FSTS_c × TCI_z and FSTS_c × TCI_z 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(FSTS_c × TCI_z = -0.587, p =</w:t>
      </w:r>
      <w:r>
        <w:t xml:space="preserve"> </w:t>
      </w:r>
      <w:r>
        <w:t xml:space="preserve">.003) and the quadratic is positive (FSTS_c</w:t>
      </w:r>
    </w:p>
    <w:p>
      <w:pPr>
        <w:pStyle w:val="BodyText"/>
      </w:pPr>
      <w:r>
        <w:t xml:space="preserve">2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39"/>
    <w:bookmarkStart w:id="40"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40"/>
    <w:bookmarkStart w:id="41"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w:t>
      </w:r>
      <w:r>
        <w:t xml:space="preserve"> </w:t>
      </w:r>
      <w:r>
        <w:t xml:space="preserve">term is negative (β = -0.861, p &lt; .001) but the quadratic term is not significant (FSTS_c</w:t>
      </w:r>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41"/>
    <w:bookmarkStart w:id="43"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(FSTS_c β = 0.971, p = .001; FSTS_c</w:t>
      </w:r>
    </w:p>
    <w:p>
      <w:pPr>
        <w:pStyle w:val="BodyText"/>
      </w:pPr>
      <w:r>
        <w:t xml:space="preserve">2 β = -1.883, p &lt; .001) than in non-</w:t>
      </w:r>
    </w:p>
    <w:p>
      <w:pPr>
        <w:pStyle w:val="BodyText"/>
      </w:pPr>
      <w:r>
        <w:t xml:space="preserve">manufacturing (FSTS_c β = 1.615, p = .064, marginal; FSTS_c</w:t>
      </w:r>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 TCI_z</w:t>
      </w:r>
    </w:p>
    <w:p>
      <w:pPr>
        <w:pStyle w:val="BodyText"/>
      </w:pPr>
      <w:r>
        <w:t xml:space="preserve">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w:t>
      </w:r>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w:t>
      </w:r>
    </w:p>
    <w:p>
      <w:pPr>
        <w:pStyle w:val="BodyText"/>
      </w:pPr>
      <w:r>
        <w:t xml:space="preserve">× wave, FSTS_c2 × wave, DAI_z × wave, TCI_z × wave). The joint Wald tests show that</w:t>
      </w:r>
      <w:r>
        <w:t xml:space="preserve"> </w:t>
      </w:r>
      <w:r>
        <w:t xml:space="preserve">only DAI_z × wave is statistically distinguishable from the pooled average (joint p = .016); the</w:t>
      </w:r>
    </w:p>
    <w:p>
      <w:pPr>
        <w:pStyle w:val="BodyText"/>
      </w:pPr>
      <w:r>
        <w:t xml:space="preserve">2 and TCI_z direct-effect cross-wave differences are not statistically separable</w:t>
      </w:r>
      <w:r>
        <w:t xml:space="preserve"> </w:t>
      </w:r>
      <w:r>
        <w:t xml:space="preserve">(all joint p &gt; .25), and the FSTS_c × DAI_z and FSTS_c × DAI_z cross-wave differences</w:t>
      </w:r>
      <w:r>
        <w:t xml:space="preserve"> </w:t>
      </w:r>
      <w:r>
        <w:t xml:space="preserve">FSTS_c, FSTS_c</w:t>
      </w:r>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3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FSTS_c2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37">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4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2"/>
    <w:bookmarkEnd w:id="43"/>
    <w:bookmarkEnd w:id="44"/>
    <w:bookmarkStart w:id="50"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w:t>
      </w:r>
    </w:p>
    <w:bookmarkStart w:id="45"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45"/>
    <w:bookmarkStart w:id="46"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46"/>
    <w:bookmarkStart w:id="47" w:name="X946dfeb74c2174371e94edd51e868f8bb309c10"/>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47"/>
    <w:bookmarkStart w:id="48"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48"/>
    <w:bookmarkStart w:id="49"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49"/>
    <w:bookmarkEnd w:id="50"/>
    <w:bookmarkStart w:id="51"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 DAI_z captures only a foundational, Tier-1-style layer of digital adoption centred</w:t>
      </w:r>
      <w:r>
        <w:t xml:space="preserve"> </w:t>
      </w:r>
      <w:r>
        <w:t xml:space="preserve">on website presence, rather than digitally integrated organisational capability. The DAI_rich</w:t>
      </w:r>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 for example, Vietnam's National Digital Transformation Programme launched in 2020</w:t>
      </w:r>
      <w:r>
        <w:t xml:space="preserve"> </w:t>
      </w:r>
      <w:r>
        <w:t xml:space="preserve">—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1"/>
    <w:bookmarkStart w:id="52"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2"/>
    <w:bookmarkStart w:id="53" w:name="conflict-of-interest"/>
    <w:p>
      <w:pPr>
        <w:pStyle w:val="Heading2"/>
      </w:pPr>
      <w:r>
        <w:t xml:space="preserve">Conflict of interest</w:t>
      </w:r>
    </w:p>
    <w:p>
      <w:pPr>
        <w:pStyle w:val="FirstParagraph"/>
      </w:pPr>
      <w:r>
        <w:t xml:space="preserve">The authors declare no conflict of interest.</w: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4"/>
    <w:bookmarkStart w:id="5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5"/>
    <w:bookmarkStart w:id="5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7"/>
    <w:bookmarkStart w:id="5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58"/>
    <w:bookmarkStart w:id="108"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59">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0">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1">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2">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3">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4">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5">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6">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7">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68">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69">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0">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1">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2">
        <w:r>
          <w:rPr>
            <w:rStyle w:val="Hyperlink"/>
          </w:rPr>
          <w:t xml:space="preserve">https://doi.org/10.1257/jel.20171452</w:t>
        </w:r>
      </w:hyperlink>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4">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75">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6">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7">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78">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79">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0">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1">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2">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3">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4">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5">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6">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7">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88">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89">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0">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1">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2">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3">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4">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5">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6">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7">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8">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99">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0">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1">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2">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3">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3">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3">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4">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5">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6">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7">
        <w:r>
          <w:rPr>
            <w:rStyle w:val="Hyperlink"/>
          </w:rPr>
          <w:t xml:space="preserve">https://doi.org/10.1016/j.jwb.2015.09.001</w:t>
        </w:r>
      </w:hyperlink>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www.enterprisesurveys.org;" TargetMode="External" /><Relationship Type="http://schemas.openxmlformats.org/officeDocument/2006/relationships/hyperlink" Id="rId104" Target="https://databank.worldbank.org/source/world-development-indicators" TargetMode="External" /><Relationship Type="http://schemas.openxmlformats.org/officeDocument/2006/relationships/hyperlink" Id="rId71" Target="https://doi.org/10.1002/1097-0266(200010/11)21:10/11%3C1105::AID-SMJ133%3E3.0.CO;2-E" TargetMode="External" /><Relationship Type="http://schemas.openxmlformats.org/officeDocument/2006/relationships/hyperlink" Id="rId93" Target="https://doi.org/10.1002/gsj.1336" TargetMode="External" /><Relationship Type="http://schemas.openxmlformats.org/officeDocument/2006/relationships/hyperlink" Id="rId96" Target="https://doi.org/10.1002/gsj.1375" TargetMode="External" /><Relationship Type="http://schemas.openxmlformats.org/officeDocument/2006/relationships/hyperlink" Id="rId77"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66" Target="https://doi.org/10.1002/smj.2475" TargetMode="External" /><Relationship Type="http://schemas.openxmlformats.org/officeDocument/2006/relationships/hyperlink" Id="rId102" Target="https://doi.org/10.1002/smj.2995" TargetMode="External" /><Relationship Type="http://schemas.openxmlformats.org/officeDocument/2006/relationships/hyperlink" Id="rId89" Target="https://doi.org/10.1002/smj.3087" TargetMode="External" /><Relationship Type="http://schemas.openxmlformats.org/officeDocument/2006/relationships/hyperlink" Id="rId95" Target="https://doi.org/10.1002/smj.640" TargetMode="External" /><Relationship Type="http://schemas.openxmlformats.org/officeDocument/2006/relationships/hyperlink" Id="rId76" Target="https://doi.org/10.1007/s11575-007-0023-3" TargetMode="External" /><Relationship Type="http://schemas.openxmlformats.org/officeDocument/2006/relationships/hyperlink" Id="rId68" Target="https://doi.org/10.1007/s11575-007-0024-2" TargetMode="External" /><Relationship Type="http://schemas.openxmlformats.org/officeDocument/2006/relationships/hyperlink" Id="rId106"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8" Target="https://doi.org/10.1016/j.jbusres.2019.09.022" TargetMode="External" /><Relationship Type="http://schemas.openxmlformats.org/officeDocument/2006/relationships/hyperlink" Id="rId100"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7" Target="https://doi.org/10.1016/j.jwb.2015.09.001" TargetMode="External" /><Relationship Type="http://schemas.openxmlformats.org/officeDocument/2006/relationships/hyperlink" Id="rId60" Target="https://doi.org/10.1016/j.leaqua.2010.10.010" TargetMode="External" /><Relationship Type="http://schemas.openxmlformats.org/officeDocument/2006/relationships/hyperlink" Id="rId85" Target="https://doi.org/10.1016/j.respol.2019.03.018" TargetMode="External" /><Relationship Type="http://schemas.openxmlformats.org/officeDocument/2006/relationships/hyperlink" Id="rId64" Target="https://doi.org/10.1057/jibs.2015.20" TargetMode="External" /><Relationship Type="http://schemas.openxmlformats.org/officeDocument/2006/relationships/hyperlink" Id="rId70" Target="https://doi.org/10.1057/palgrave.jibs.8400390" TargetMode="External" /><Relationship Type="http://schemas.openxmlformats.org/officeDocument/2006/relationships/hyperlink" Id="rId97" Target="https://doi.org/10.1057/s41267-017-0107-7" TargetMode="External" /><Relationship Type="http://schemas.openxmlformats.org/officeDocument/2006/relationships/hyperlink" Id="rId69" Target="https://doi.org/10.1057/s41267-017-0120-x" TargetMode="External" /><Relationship Type="http://schemas.openxmlformats.org/officeDocument/2006/relationships/hyperlink" Id="rId61" Target="https://doi.org/10.1057/s41267-019-00243-7" TargetMode="External" /><Relationship Type="http://schemas.openxmlformats.org/officeDocument/2006/relationships/hyperlink" Id="rId88" Target="https://doi.org/10.1057/s41267-019-00269-x" TargetMode="External" /><Relationship Type="http://schemas.openxmlformats.org/officeDocument/2006/relationships/hyperlink" Id="rId86" Target="https://doi.org/10.1080/07350015.2016.1227711" TargetMode="External" /><Relationship Type="http://schemas.openxmlformats.org/officeDocument/2006/relationships/hyperlink" Id="rId94" Target="https://doi.org/10.1108/MBR-05-2017-0028" TargetMode="External" /><Relationship Type="http://schemas.openxmlformats.org/officeDocument/2006/relationships/hyperlink" Id="rId105" Target="https://doi.org/10.1111/j.1467-6486.2005.00487.x" TargetMode="External" /><Relationship Type="http://schemas.openxmlformats.org/officeDocument/2006/relationships/hyperlink" Id="rId101" Target="https://doi.org/10.1111/j.1467-9701.2007.00872.x" TargetMode="External" /><Relationship Type="http://schemas.openxmlformats.org/officeDocument/2006/relationships/hyperlink" Id="rId99"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7" Target="https://doi.org/10.1111/j.1745-9125.1998.tb01268.x" TargetMode="External" /><Relationship Type="http://schemas.openxmlformats.org/officeDocument/2006/relationships/hyperlink" Id="rId74"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1" Target="https://doi.org/10.1177/0149206319846272" TargetMode="External" /><Relationship Type="http://schemas.openxmlformats.org/officeDocument/2006/relationships/hyperlink" Id="rId59" Target="https://doi.org/10.1177/1094428119836485" TargetMode="External" /><Relationship Type="http://schemas.openxmlformats.org/officeDocument/2006/relationships/hyperlink" Id="rId72" Target="https://doi.org/10.1257/jel.20171452" TargetMode="External" /><Relationship Type="http://schemas.openxmlformats.org/officeDocument/2006/relationships/hyperlink" Id="rId62" Target="https://doi.org/10.1257/jep.21.3.105" TargetMode="External" /><Relationship Type="http://schemas.openxmlformats.org/officeDocument/2006/relationships/hyperlink" Id="rId65" Target="https://doi.org/10.1257/mac.20180386" TargetMode="External" /><Relationship Type="http://schemas.openxmlformats.org/officeDocument/2006/relationships/hyperlink" Id="rId75"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2" Target="https://doi.org/10.2307/2171753" TargetMode="External" /><Relationship Type="http://schemas.openxmlformats.org/officeDocument/2006/relationships/hyperlink" Id="rId67" Target="https://doi.org/10.2307/2393553" TargetMode="External" /><Relationship Type="http://schemas.openxmlformats.org/officeDocument/2006/relationships/hyperlink" Id="rId63" Target="https://doi.org/10.25300/misq/2013/37:2.3" TargetMode="External" /><Relationship Type="http://schemas.openxmlformats.org/officeDocument/2006/relationships/hyperlink" Id="rId90" Target="https://english.luatvietnam.vn/decision-no-749-qd-ttg-on-approving-the-national-digital-transformation-program-until-2025-with-a-vision-184241-doc1.html" TargetMode="External" /><Relationship Type="http://schemas.openxmlformats.org/officeDocument/2006/relationships/hyperlink" Id="rId103" Target="https://www.enterprisesurveys.org/en/enterprisesurveys" TargetMode="External" /><Relationship Type="http://schemas.openxmlformats.org/officeDocument/2006/relationships/hyperlink" Id="rId78"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37" Target="http://www.enterprisesurveys.org;" TargetMode="External" /><Relationship Type="http://schemas.openxmlformats.org/officeDocument/2006/relationships/hyperlink" Id="rId104" Target="https://databank.worldbank.org/source/world-development-indicators" TargetMode="External" /><Relationship Type="http://schemas.openxmlformats.org/officeDocument/2006/relationships/hyperlink" Id="rId71" Target="https://doi.org/10.1002/1097-0266(200010/11)21:10/11%3C1105::AID-SMJ133%3E3.0.CO;2-E" TargetMode="External" /><Relationship Type="http://schemas.openxmlformats.org/officeDocument/2006/relationships/hyperlink" Id="rId93" Target="https://doi.org/10.1002/gsj.1336" TargetMode="External" /><Relationship Type="http://schemas.openxmlformats.org/officeDocument/2006/relationships/hyperlink" Id="rId96" Target="https://doi.org/10.1002/gsj.1375" TargetMode="External" /><Relationship Type="http://schemas.openxmlformats.org/officeDocument/2006/relationships/hyperlink" Id="rId77"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66" Target="https://doi.org/10.1002/smj.2475" TargetMode="External" /><Relationship Type="http://schemas.openxmlformats.org/officeDocument/2006/relationships/hyperlink" Id="rId102" Target="https://doi.org/10.1002/smj.2995" TargetMode="External" /><Relationship Type="http://schemas.openxmlformats.org/officeDocument/2006/relationships/hyperlink" Id="rId89" Target="https://doi.org/10.1002/smj.3087" TargetMode="External" /><Relationship Type="http://schemas.openxmlformats.org/officeDocument/2006/relationships/hyperlink" Id="rId95" Target="https://doi.org/10.1002/smj.640" TargetMode="External" /><Relationship Type="http://schemas.openxmlformats.org/officeDocument/2006/relationships/hyperlink" Id="rId76" Target="https://doi.org/10.1007/s11575-007-0023-3" TargetMode="External" /><Relationship Type="http://schemas.openxmlformats.org/officeDocument/2006/relationships/hyperlink" Id="rId68" Target="https://doi.org/10.1007/s11575-007-0024-2" TargetMode="External" /><Relationship Type="http://schemas.openxmlformats.org/officeDocument/2006/relationships/hyperlink" Id="rId106"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8" Target="https://doi.org/10.1016/j.jbusres.2019.09.022" TargetMode="External" /><Relationship Type="http://schemas.openxmlformats.org/officeDocument/2006/relationships/hyperlink" Id="rId100"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7" Target="https://doi.org/10.1016/j.jwb.2015.09.001" TargetMode="External" /><Relationship Type="http://schemas.openxmlformats.org/officeDocument/2006/relationships/hyperlink" Id="rId60" Target="https://doi.org/10.1016/j.leaqua.2010.10.010" TargetMode="External" /><Relationship Type="http://schemas.openxmlformats.org/officeDocument/2006/relationships/hyperlink" Id="rId85" Target="https://doi.org/10.1016/j.respol.2019.03.018" TargetMode="External" /><Relationship Type="http://schemas.openxmlformats.org/officeDocument/2006/relationships/hyperlink" Id="rId64" Target="https://doi.org/10.1057/jibs.2015.20" TargetMode="External" /><Relationship Type="http://schemas.openxmlformats.org/officeDocument/2006/relationships/hyperlink" Id="rId70" Target="https://doi.org/10.1057/palgrave.jibs.8400390" TargetMode="External" /><Relationship Type="http://schemas.openxmlformats.org/officeDocument/2006/relationships/hyperlink" Id="rId97" Target="https://doi.org/10.1057/s41267-017-0107-7" TargetMode="External" /><Relationship Type="http://schemas.openxmlformats.org/officeDocument/2006/relationships/hyperlink" Id="rId69" Target="https://doi.org/10.1057/s41267-017-0120-x" TargetMode="External" /><Relationship Type="http://schemas.openxmlformats.org/officeDocument/2006/relationships/hyperlink" Id="rId61" Target="https://doi.org/10.1057/s41267-019-00243-7" TargetMode="External" /><Relationship Type="http://schemas.openxmlformats.org/officeDocument/2006/relationships/hyperlink" Id="rId88" Target="https://doi.org/10.1057/s41267-019-00269-x" TargetMode="External" /><Relationship Type="http://schemas.openxmlformats.org/officeDocument/2006/relationships/hyperlink" Id="rId86" Target="https://doi.org/10.1080/07350015.2016.1227711" TargetMode="External" /><Relationship Type="http://schemas.openxmlformats.org/officeDocument/2006/relationships/hyperlink" Id="rId94" Target="https://doi.org/10.1108/MBR-05-2017-0028" TargetMode="External" /><Relationship Type="http://schemas.openxmlformats.org/officeDocument/2006/relationships/hyperlink" Id="rId105" Target="https://doi.org/10.1111/j.1467-6486.2005.00487.x" TargetMode="External" /><Relationship Type="http://schemas.openxmlformats.org/officeDocument/2006/relationships/hyperlink" Id="rId101" Target="https://doi.org/10.1111/j.1467-9701.2007.00872.x" TargetMode="External" /><Relationship Type="http://schemas.openxmlformats.org/officeDocument/2006/relationships/hyperlink" Id="rId99"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7" Target="https://doi.org/10.1111/j.1745-9125.1998.tb01268.x" TargetMode="External" /><Relationship Type="http://schemas.openxmlformats.org/officeDocument/2006/relationships/hyperlink" Id="rId74"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1" Target="https://doi.org/10.1177/0149206319846272" TargetMode="External" /><Relationship Type="http://schemas.openxmlformats.org/officeDocument/2006/relationships/hyperlink" Id="rId59" Target="https://doi.org/10.1177/1094428119836485" TargetMode="External" /><Relationship Type="http://schemas.openxmlformats.org/officeDocument/2006/relationships/hyperlink" Id="rId72" Target="https://doi.org/10.1257/jel.20171452" TargetMode="External" /><Relationship Type="http://schemas.openxmlformats.org/officeDocument/2006/relationships/hyperlink" Id="rId62" Target="https://doi.org/10.1257/jep.21.3.105" TargetMode="External" /><Relationship Type="http://schemas.openxmlformats.org/officeDocument/2006/relationships/hyperlink" Id="rId65" Target="https://doi.org/10.1257/mac.20180386" TargetMode="External" /><Relationship Type="http://schemas.openxmlformats.org/officeDocument/2006/relationships/hyperlink" Id="rId75"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2" Target="https://doi.org/10.2307/2171753" TargetMode="External" /><Relationship Type="http://schemas.openxmlformats.org/officeDocument/2006/relationships/hyperlink" Id="rId67" Target="https://doi.org/10.2307/2393553" TargetMode="External" /><Relationship Type="http://schemas.openxmlformats.org/officeDocument/2006/relationships/hyperlink" Id="rId63" Target="https://doi.org/10.25300/misq/2013/37:2.3" TargetMode="External" /><Relationship Type="http://schemas.openxmlformats.org/officeDocument/2006/relationships/hyperlink" Id="rId90" Target="https://english.luatvietnam.vn/decision-no-749-qd-ttg-on-approving-the-national-digital-transformation-program-until-2025-with-a-vision-184241-doc1.html" TargetMode="External" /><Relationship Type="http://schemas.openxmlformats.org/officeDocument/2006/relationships/hyperlink" Id="rId103" Target="https://www.enterprisesurveys.org/en/enterprisesurveys" TargetMode="External" /><Relationship Type="http://schemas.openxmlformats.org/officeDocument/2006/relationships/hyperlink" Id="rId78"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2026-05-13T17:16:52Z</dcterms:created>
  <dcterms:modified xsi:type="dcterms:W3CDTF">2026-05-13T17:16:52Z</dcterms:modified>
</cp:coreProperties>
</file>

<file path=docProps/custom.xml><?xml version="1.0" encoding="utf-8"?>
<Properties xmlns="http://schemas.openxmlformats.org/officeDocument/2006/custom-properties" xmlns:vt="http://schemas.openxmlformats.org/officeDocument/2006/docPropsVTypes"/>
</file>