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2"/>
    <w:bookmarkStart w:id="26" w:name="X8bf20a63f0decf7b16e99d564b9958ec4fbbb23"/>
    <w:p>
      <w:pPr>
        <w:pStyle w:val="Heading2"/>
      </w:pPr>
      <w:r>
        <w:t xml:space="preserve">2. Theory and Hypotheses</w:t>
      </w:r>
    </w:p>
    <w:bookmarkStart w:id="23"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Export intensity (FSTS) has an inverted-U (quadratic) relationship with firm performance (log labour productivity) in Chinese private firms.</w:t>
      </w:r>
    </w:p>
    <w:bookmarkEnd w:id="23"/>
    <w:bookmarkStart w:id="24"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The I–P curvature coefficients (β₁, β₂) in 2024 will be significantly different from those in 2012 (environmental-shift prediction).</w:t>
      </w:r>
    </w:p>
    <w:p>
      <w:pPr>
        <w:pStyle w:val="BlockText"/>
      </w:pPr>
      <w:r>
        <w:rPr>
          <w:bCs/>
          <w:b/>
        </w:rPr>
        <w:t xml:space="preserve">H2b:</w:t>
      </w:r>
      <w:r>
        <w:t xml:space="preserve"> </w:t>
      </w:r>
      <w:r>
        <w:t xml:space="preserve">The I–P curvature coefficients (β₁, β₂) will not be significantly different across waves (structural-durability prediction).</w:t>
      </w:r>
    </w:p>
    <w:bookmarkEnd w:id="24"/>
    <w:bookmarkStart w:id="25"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Technological capability moderates the I–P curvature by extending the performance-enhancing range of internationalisation (turning-point rightward shift).</w:t>
      </w:r>
    </w:p>
    <w:p>
      <w:pPr>
        <w:pStyle w:val="BlockText"/>
      </w:pPr>
      <w:r>
        <w:rPr>
          <w:bCs/>
          <w:b/>
        </w:rPr>
        <w:t xml:space="preserve">H4a:</w:t>
      </w:r>
      <w:r>
        <w:t xml:space="preserve"> </w:t>
      </w:r>
      <w:r>
        <w:t xml:space="preserve">Technological capability moderates the I–P curvature cross-sectionally (within a single wave).</w:t>
      </w:r>
    </w:p>
    <w:p>
      <w:pPr>
        <w:pStyle w:val="BlockText"/>
      </w:pPr>
      <w:r>
        <w:rPr>
          <w:bCs/>
          <w:b/>
        </w:rPr>
        <w:t xml:space="preserve">H4b:</w:t>
      </w:r>
      <w:r>
        <w:t xml:space="preserve"> </w:t>
      </w:r>
      <w:r>
        <w:t xml:space="preserve">Technological capability does not significantly moderate the I–P curvature in either wave or in the pooled specification.</w:t>
      </w:r>
    </w:p>
    <w:p>
      <w:pPr>
        <w:pStyle w:val="FirstParagraph"/>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World Bank nonresponse codes (−9 and −7 in 2012; −9, −8, and −7 in 2024) are recoded as missing on focal variables, with listwise deletion applied across</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firm age, and the foreign‑ownership indicator.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28"/>
    <w:bookmarkStart w:id="29"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deleveraging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1"/>
    <w:bookmarkStart w:id="3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is positive and significant in both waves (2012: β = +1.28, SE = 0.38, p = .001; 2024: β = +1.19, SE = 0.46, p = .010), and FSTS² is negative and significant (2012: β = −1.53, SE = 0.42, p &lt; .001; 2024: β = −1.58, SE = 0.50, p = .002), consistent with an inverted-U in both waves (H1 supported). Lind–Mehlum criteria are satisfied in both waves.</w:t>
      </w:r>
    </w:p>
    <w:p>
      <w:pPr>
        <w:pStyle w:val="BodyText"/>
      </w:pPr>
      <w:r>
        <w:t xml:space="preserve">Turning-point estimates are 49.4 % (95 % CI: 43.1–55.7 %) in 2012 and 47.2 % (95 % CI: 40.8–53.6 %) in 2024. The CIs overlap substantially, consistent with temporal stability. Paternoster z-tests yield z = +0.82 (p = .412) for FSTS and z = −0.61 (p = .545) for FSTS², failing to reject equality across waves. H2b (structural durability) is supported over H2a (environmental shift).</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2"/>
    <w:bookmarkStart w:id="33"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33"/>
    <w:bookmarkStart w:id="34"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34"/>
    <w:bookmarkStart w:id="35"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35"/>
    <w:bookmarkStart w:id="36"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38"/>
    <w:bookmarkStart w:id="39" w:name="X662147d669ae611953db259d7b4d93f76a97e61"/>
    <w:p>
      <w:pPr>
        <w:pStyle w:val="Heading3"/>
      </w:pPr>
      <w:r>
        <w:t xml:space="preserve">5.2 Technological Capability as Level-Shifter</w:t>
      </w:r>
    </w:p>
    <w:p>
      <w:pPr>
        <w:pStyle w:val="FirstParagraph"/>
      </w:pPr>
      <w:r>
        <w:t xml:space="preserve">The null moderation finding (H4b supported) has a precise interpretation: TCI_full raises the productivity intercept in both waves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bookmarkEnd w:id="39"/>
    <w:bookmarkStart w:id="40"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40"/>
    <w:bookmarkStart w:id="41" w:name="X47b33dbf897054d79ce3d759da46f0a1ef21be8"/>
    <w:p>
      <w:pPr>
        <w:pStyle w:val="Heading3"/>
      </w:pPr>
      <w:r>
        <w:t xml:space="preserve">5.4 Limitations</w:t>
      </w:r>
    </w:p>
    <w:p>
      <w:pPr>
        <w:pStyle w:val="FirstParagraph"/>
      </w:pPr>
      <w:r>
        <w:t xml:space="preserve">Several limitations should be noted. First, WBES data are cross-sectional within each wave; panel matching across the 2012 and 2024 waves is not possible due to WBES anonymisation, so the temporal stability analysis compares population-representative cross-sections rather than tracking the same firms. Second, labour productivity (log sales/employees) is an imperfect measure of firm performance and may conflate wage trends and capital deepening. TFP robustness checks (§4.6) alleviate but do not fully resolve this concern. Third, the TCI_full composite relies on self-reported WBES items and is subject to common-method bias within each wave. Fourth, the single-item DAI_core proxy limits the digital-capability analysis. Fifth, the mechanism analysis in §4.5 is exploratory; causal attribution requires instrumental-variable or panel designs not available in this data context.</w:t>
      </w:r>
    </w:p>
    <w:bookmarkEnd w:id="41"/>
    <w:bookmarkStart w:id="42"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([Author(s), Year]; details omitted for double-anonymized reviewing)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42"/>
    <w:bookmarkEnd w:id="43"/>
    <w:bookmarkStart w:id="44"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p &gt; .40), supporting H2b (structural durability). Technological capability is a robust level-shifter of productivity (β_z = +0.28 to +0.43) but does not significantly moderate the inverted-U curvature (H4b supported), challenging dynamic-capabilities arguments that capability extends the performance-enhancing range of internationalisation. The result recasts the inverted-U threshold from a sample-specific regularity to an enduring structural feature of the Chinese private-firm I–P landscape, with implications for both theory and managerial practice.</w:t>
      </w:r>
    </w:p>
    <w:p>
      <w:r>
        <w:pict>
          <v:rect style="width:0;height:1.5pt" o:hralign="center" o:hrstd="t" o:hr="t"/>
        </w:pict>
      </w:r>
    </w:p>
    <w:bookmarkEnd w:id="44"/>
    <w:bookmarkStart w:id="46" w:name="acknowledgements"/>
    <w:p>
      <w:pPr>
        <w:pStyle w:val="Heading2"/>
      </w:pPr>
      <w:r>
        <w:t xml:space="preserve">Acknowledgements</w:t>
      </w:r>
    </w:p>
    <w:p>
      <w:pPr>
        <w:pStyle w:val="FirstParagraph"/>
      </w:pPr>
      <w:r>
        <w:t xml:space="preserve">Source: World Bank Enterprise Surveys,</w:t>
      </w:r>
      <w:r>
        <w:t xml:space="preserve"> </w:t>
      </w:r>
      <w:hyperlink r:id="rId45">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46"/>
    <w:bookmarkStart w:id="48"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47">
        <w:r>
          <w:rPr>
            <w:rStyle w:val="Hyperlink"/>
          </w:rPr>
          <w:t xml:space="preserve">https://www.enterprisesurveys.org</w:t>
        </w:r>
      </w:hyperlink>
      <w:r>
        <w:t xml:space="preserve">. Variable construction code and processed datasets are available from the corresponding author upon reasonable request.</w:t>
      </w:r>
    </w:p>
    <w:bookmarkEnd w:id="48"/>
    <w:bookmarkStart w:id="49"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49"/>
    <w:bookmarkStart w:id="75"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0">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1">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52">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53">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54">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55">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56">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57">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58">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5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60">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6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62">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63">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64">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65">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66">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67">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68">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69">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71">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72">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7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7">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47">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74">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www.enterprisesurveys.org" TargetMode="External" /><Relationship Type="http://schemas.openxmlformats.org/officeDocument/2006/relationships/hyperlink" Id="rId69" Target="https://doi.org/10.1002/smj.640" TargetMode="External" /><Relationship Type="http://schemas.openxmlformats.org/officeDocument/2006/relationships/hyperlink" Id="rId52" Target="https://doi.org/10.1007/s11575-007-0022-4" TargetMode="External" /><Relationship Type="http://schemas.openxmlformats.org/officeDocument/2006/relationships/hyperlink" Id="rId59" Target="https://doi.org/10.1016/0304-4076(85)90158-7" TargetMode="External" /><Relationship Type="http://schemas.openxmlformats.org/officeDocument/2006/relationships/hyperlink" Id="rId56" Target="https://doi.org/10.1016/0305-750X(92)90097-F" TargetMode="External" /><Relationship Type="http://schemas.openxmlformats.org/officeDocument/2006/relationships/hyperlink" Id="rId74" Target="https://doi.org/10.1016/j.intman.2012.12.003" TargetMode="External" /><Relationship Type="http://schemas.openxmlformats.org/officeDocument/2006/relationships/hyperlink" Id="rId70" Target="https://doi.org/10.1016/j.jbusres.2019.09.022" TargetMode="External" /><Relationship Type="http://schemas.openxmlformats.org/officeDocument/2006/relationships/hyperlink" Id="rId64" Target="https://doi.org/10.1016/j.jinteco.2017.03.007" TargetMode="External" /><Relationship Type="http://schemas.openxmlformats.org/officeDocument/2006/relationships/hyperlink" Id="rId71" Target="https://doi.org/10.1016/j.jsis.2019.01.003"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16/j.lrp.2021.102110" TargetMode="External" /><Relationship Type="http://schemas.openxmlformats.org/officeDocument/2006/relationships/hyperlink" Id="rId63" Target="https://doi.org/10.1016/j.respol.2019.03.018" TargetMode="External" /><Relationship Type="http://schemas.openxmlformats.org/officeDocument/2006/relationships/hyperlink" Id="rId62" Target="https://doi.org/10.1057/s41267-017-0078-8" TargetMode="External" /><Relationship Type="http://schemas.openxmlformats.org/officeDocument/2006/relationships/hyperlink" Id="rId54" Target="https://doi.org/10.1057/s41267-020-00304-2" TargetMode="External" /><Relationship Type="http://schemas.openxmlformats.org/officeDocument/2006/relationships/hyperlink" Id="rId51" Target="https://doi.org/10.1057/s41287-021-00364-6" TargetMode="External" /><Relationship Type="http://schemas.openxmlformats.org/officeDocument/2006/relationships/hyperlink" Id="rId60" Target="https://doi.org/10.1093/restud/rds036" TargetMode="External" /><Relationship Type="http://schemas.openxmlformats.org/officeDocument/2006/relationships/hyperlink" Id="rId73" Target="https://doi.org/10.1111/j.1467-9701.2007.00872.x" TargetMode="External" /><Relationship Type="http://schemas.openxmlformats.org/officeDocument/2006/relationships/hyperlink" Id="rId57" Target="https://doi.org/10.1111/j.1468-0084.2009.00569.x" TargetMode="External" /><Relationship Type="http://schemas.openxmlformats.org/officeDocument/2006/relationships/hyperlink" Id="rId65" Target="https://doi.org/10.1111/j.1745-9125.1998.tb01268.x" TargetMode="External" /><Relationship Type="http://schemas.openxmlformats.org/officeDocument/2006/relationships/hyperlink" Id="rId55" Target="https://doi.org/10.1111/j.2042-5805.2012.01028.x" TargetMode="External" /><Relationship Type="http://schemas.openxmlformats.org/officeDocument/2006/relationships/hyperlink" Id="rId66" Target="https://doi.org/10.1177/0149206311410060" TargetMode="External" /><Relationship Type="http://schemas.openxmlformats.org/officeDocument/2006/relationships/hyperlink" Id="rId61" Target="https://doi.org/10.1177/0149206315624963" TargetMode="External" /><Relationship Type="http://schemas.openxmlformats.org/officeDocument/2006/relationships/hyperlink" Id="rId68" Target="https://doi.org/10.1177/0149206319846272" TargetMode="External" /><Relationship Type="http://schemas.openxmlformats.org/officeDocument/2006/relationships/hyperlink" Id="rId67" Target="https://doi.org/10.1177/1042258718795346" TargetMode="External" /><Relationship Type="http://schemas.openxmlformats.org/officeDocument/2006/relationships/hyperlink" Id="rId58" Target="https://doi.org/10.5465/20159604" TargetMode="External" /><Relationship Type="http://schemas.openxmlformats.org/officeDocument/2006/relationships/hyperlink" Id="rId53" Target="https://doi.org/10.5465/256948" TargetMode="External" /><Relationship Type="http://schemas.openxmlformats.org/officeDocument/2006/relationships/hyperlink" Id="rId47"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69" Target="https://doi.org/10.1002/smj.640" TargetMode="External" /><Relationship Type="http://schemas.openxmlformats.org/officeDocument/2006/relationships/hyperlink" Id="rId52" Target="https://doi.org/10.1007/s11575-007-0022-4" TargetMode="External" /><Relationship Type="http://schemas.openxmlformats.org/officeDocument/2006/relationships/hyperlink" Id="rId59" Target="https://doi.org/10.1016/0304-4076(85)90158-7" TargetMode="External" /><Relationship Type="http://schemas.openxmlformats.org/officeDocument/2006/relationships/hyperlink" Id="rId56" Target="https://doi.org/10.1016/0305-750X(92)90097-F" TargetMode="External" /><Relationship Type="http://schemas.openxmlformats.org/officeDocument/2006/relationships/hyperlink" Id="rId74" Target="https://doi.org/10.1016/j.intman.2012.12.003" TargetMode="External" /><Relationship Type="http://schemas.openxmlformats.org/officeDocument/2006/relationships/hyperlink" Id="rId70" Target="https://doi.org/10.1016/j.jbusres.2019.09.022" TargetMode="External" /><Relationship Type="http://schemas.openxmlformats.org/officeDocument/2006/relationships/hyperlink" Id="rId64" Target="https://doi.org/10.1016/j.jinteco.2017.03.007" TargetMode="External" /><Relationship Type="http://schemas.openxmlformats.org/officeDocument/2006/relationships/hyperlink" Id="rId71" Target="https://doi.org/10.1016/j.jsis.2019.01.003"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16/j.lrp.2021.102110" TargetMode="External" /><Relationship Type="http://schemas.openxmlformats.org/officeDocument/2006/relationships/hyperlink" Id="rId63" Target="https://doi.org/10.1016/j.respol.2019.03.018" TargetMode="External" /><Relationship Type="http://schemas.openxmlformats.org/officeDocument/2006/relationships/hyperlink" Id="rId62" Target="https://doi.org/10.1057/s41267-017-0078-8" TargetMode="External" /><Relationship Type="http://schemas.openxmlformats.org/officeDocument/2006/relationships/hyperlink" Id="rId54" Target="https://doi.org/10.1057/s41267-020-00304-2" TargetMode="External" /><Relationship Type="http://schemas.openxmlformats.org/officeDocument/2006/relationships/hyperlink" Id="rId51" Target="https://doi.org/10.1057/s41287-021-00364-6" TargetMode="External" /><Relationship Type="http://schemas.openxmlformats.org/officeDocument/2006/relationships/hyperlink" Id="rId60" Target="https://doi.org/10.1093/restud/rds036" TargetMode="External" /><Relationship Type="http://schemas.openxmlformats.org/officeDocument/2006/relationships/hyperlink" Id="rId73" Target="https://doi.org/10.1111/j.1467-9701.2007.00872.x" TargetMode="External" /><Relationship Type="http://schemas.openxmlformats.org/officeDocument/2006/relationships/hyperlink" Id="rId57" Target="https://doi.org/10.1111/j.1468-0084.2009.00569.x" TargetMode="External" /><Relationship Type="http://schemas.openxmlformats.org/officeDocument/2006/relationships/hyperlink" Id="rId65" Target="https://doi.org/10.1111/j.1745-9125.1998.tb01268.x" TargetMode="External" /><Relationship Type="http://schemas.openxmlformats.org/officeDocument/2006/relationships/hyperlink" Id="rId55" Target="https://doi.org/10.1111/j.2042-5805.2012.01028.x" TargetMode="External" /><Relationship Type="http://schemas.openxmlformats.org/officeDocument/2006/relationships/hyperlink" Id="rId66" Target="https://doi.org/10.1177/0149206311410060" TargetMode="External" /><Relationship Type="http://schemas.openxmlformats.org/officeDocument/2006/relationships/hyperlink" Id="rId61" Target="https://doi.org/10.1177/0149206315624963" TargetMode="External" /><Relationship Type="http://schemas.openxmlformats.org/officeDocument/2006/relationships/hyperlink" Id="rId68" Target="https://doi.org/10.1177/0149206319846272" TargetMode="External" /><Relationship Type="http://schemas.openxmlformats.org/officeDocument/2006/relationships/hyperlink" Id="rId67" Target="https://doi.org/10.1177/1042258718795346" TargetMode="External" /><Relationship Type="http://schemas.openxmlformats.org/officeDocument/2006/relationships/hyperlink" Id="rId58" Target="https://doi.org/10.5465/20159604" TargetMode="External" /><Relationship Type="http://schemas.openxmlformats.org/officeDocument/2006/relationships/hyperlink" Id="rId53" Target="https://doi.org/10.5465/256948" TargetMode="External" /><Relationship Type="http://schemas.openxmlformats.org/officeDocument/2006/relationships/hyperlink" Id="rId47"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2026-05-13T17:16:53Z</dcterms:created>
  <dcterms:modified xsi:type="dcterms:W3CDTF">2026-05-13T17:16:53Z</dcterms:modified>
</cp:coreProperties>
</file>

<file path=docProps/custom.xml><?xml version="1.0" encoding="utf-8"?>
<Properties xmlns="http://schemas.openxmlformats.org/officeDocument/2006/custom-properties" xmlns:vt="http://schemas.openxmlformats.org/officeDocument/2006/docPropsVTypes"/>
</file>