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d08a144acba3a58a8f2f7eaac88fe4e9aa11fc"/>
    <w:p>
      <w:pPr>
        <w:pStyle w:val="Heading1"/>
      </w:pPr>
      <w:r>
        <w:t xml:space="preserve">Xem Xét Lại Mối Quan Hệ Giữa Quốc Tế Hóa và Hiệu Quả Kinh Doanh tại Thị Trường Mới Nổi: Vai Trò của Năng Lực Công Nghệ và Năng Lực Số Nền Tảng</w:t>
      </w:r>
    </w:p>
    <w:p>
      <w:pPr>
        <w:pStyle w:val="FirstParagraph"/>
      </w:pPr>
      <w:r>
        <w:rPr>
          <w:iCs/>
          <w:i/>
        </w:rPr>
        <w:t xml:space="preserve">Bản dịch tiếng Việt — Nguồn: p3/p3_vietnam_en_clean.md</w:t>
      </w:r>
      <w:r>
        <w:t xml:space="preserve"> </w:t>
      </w:r>
      <w:r>
        <w:rPr>
          <w:iCs/>
          <w:i/>
        </w:rPr>
        <w:t xml:space="preserve">Dịch thuật: Claude AI theo chuẩn văn phong học thuật CTU (09b_vn_term_glossary.md v1.3)</w:t>
      </w:r>
      <w:r>
        <w:t xml:space="preserve"> </w:t>
      </w:r>
      <w:r>
        <w:rPr>
          <w:iCs/>
          <w:i/>
        </w:rPr>
        <w:t xml:space="preserve">Ngày: 13/05/2026</w:t>
      </w:r>
    </w:p>
    <w:p>
      <w:r>
        <w:pict>
          <v:rect style="width:0;height:1.5pt" o:hralign="center" o:hrstd="t" o:hr="t"/>
        </w:pict>
      </w:r>
    </w:p>
    <w:p>
      <w:pPr>
        <w:pStyle w:val="FirstParagraph"/>
      </w:pPr>
      <w:r>
        <w:rPr>
          <w:iCs/>
          <w:i/>
        </w:rPr>
        <w:t xml:space="preserve">Chi tiết tác giả đã được ẩn để phục vụ phản biện ẩn danh</w:t>
      </w:r>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(văn bản chính, không tính tóm tắt, tài liệu tham khảo, bảng và hình): khoảng 6.800 từ.</w:t>
      </w:r>
    </w:p>
    <w:p>
      <w:pPr>
        <w:pStyle w:val="BodyText"/>
      </w:pPr>
      <w:r>
        <w:rPr>
          <w:bCs/>
          <w:b/>
        </w:rPr>
        <w:t xml:space="preserve">Bảng:</w:t>
      </w:r>
      <w:r>
        <w:t xml:space="preserve"> </w:t>
      </w:r>
      <w:r>
        <w:t xml:space="preserve">4 (Bảng 1 thống kê mô tả; Bảng 2 tóm tắt hệ số trọng tâm; Bảng 3 các bảng kiểm định vững (robustness check); Bảng 4 các điểm ngoặt).</w:t>
      </w:r>
    </w:p>
    <w:p>
      <w:pPr>
        <w:pStyle w:val="BodyText"/>
      </w:pPr>
      <w:r>
        <w:rPr>
          <w:bCs/>
          <w:b/>
        </w:rPr>
        <w:t xml:space="preserve">Hình:</w:t>
      </w:r>
      <w:r>
        <w:t xml:space="preserve"> </w:t>
      </w:r>
      <w:r>
        <w:t xml:space="preserve">6 (Hình 1 mô hình khái niệm; Hình 2a–2d đường cong FSTS theo từng đợt khảo sát; Hình 3 hiệu ứng biên của biến điều tiết — tương tác TCI và DAI với FSTS).</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 Nghiên cứu này xem xét lại mối quan hệ quốc tế hóa–hiệu quả kinh doanh (I–P) tại Việt Nam qua ba đợt khảo sát, kiểm định xem liệu năng lực công nghệ có điều tiết hiệu ứng của cường độ xuất khẩu hay không, và Năng lực số (Digital Adoption Index — DAI) ở Tầng 1 tiến triển như thế nào qua các thế hệ thể chế.</w:t>
      </w:r>
    </w:p>
    <w:p>
      <w:pPr>
        <w:pStyle w:val="BodyText"/>
      </w:pPr>
      <w:r>
        <w:rPr>
          <w:bCs/>
          <w:b/>
        </w:rPr>
        <w:t xml:space="preserve">Thiết kế/Phương pháp/Cách tiếp cận</w:t>
      </w:r>
      <w:r>
        <w:t xml:space="preserve"> </w:t>
      </w:r>
      <w:r>
        <w:t xml:space="preserve">— Nghiên cứu sử dụng dữ liệu ba đợt Khảo sát Doanh nghiệp của Ngân hàng Thế giới (WBES Việt Nam 2009, 2015, 2023; N = 2.958) để ước lượng các mô hình OLS theo từng đợt và mô hình gộp với sai số chuẩn vững HC1, số hạng bậc hai của cường độ xuất khẩu, và các tương tác năng lực. Năng lực công nghệ (Technological Capability Index — TCI) (chứng nhận chất lượng, công nghệ cấp phép nước ngoài) là cấu trúc chính; chỉ số website (chỉ Tầng 1) được giữ lại như một biến kiểm soát sự hiện diện số nền tảng.</w:t>
      </w:r>
    </w:p>
    <w:p>
      <w:pPr>
        <w:pStyle w:val="BodyText"/>
      </w:pPr>
      <w:r>
        <w:rPr>
          <w:bCs/>
          <w:b/>
        </w:rPr>
        <w:t xml:space="preserve">Kết quả</w:t>
      </w:r>
      <w:r>
        <w:t xml:space="preserve"> </w:t>
      </w:r>
      <w:r>
        <w:t xml:space="preserve">— Mối quan hệ hình chữ U ngược giữa cường độ xuất khẩu và năng suất lao động xuất hiện nhất quán qua cả ba đợt khảo sát, với các điểm ngoặt tập trung trong khoảng 39% đến 46% — một dải bền vững về mặt cấu trúc rộng 7 điểm phần trăm, duy trì suốt 14 năm thay đổi thể chế. Tính phi tuyến này chủ yếu là hiệu ứng ở biên tham gia xuất khẩu: khi ước lượng lại trên mẫu con chỉ gồm doanh nghiệp xuất khẩu, số hạng bậc hai mất ý nghĩa thống kê (β = −0,200, p = 0,660), và ít hơn 1% doanh nghiệp trong mẫu gộp nằm trong khoảng ±5 điểm phần trăm quanh điểm ngoặt. TCI gắn kết tích cực với năng suất trong tất cả các đợt (β gộp = 0,179, p &lt; 0,001) và điều tiết độ cong I–P. Chỉ số website theo quỹ đạo lỗi thời đại diện Tầng 1: dương trong năm 2009, không có ý nghĩa trong năm 2015, và tương tác âm với cường độ xuất khẩu trong năm 2023.</w:t>
      </w:r>
    </w:p>
    <w:p>
      <w:pPr>
        <w:pStyle w:val="BodyText"/>
      </w:pPr>
      <w:r>
        <w:rPr>
          <w:bCs/>
          <w:b/>
        </w:rPr>
        <w:t xml:space="preserve">Tính mới/Giá trị</w:t>
      </w:r>
      <w:r>
        <w:t xml:space="preserve"> </w:t>
      </w:r>
      <w:r>
        <w:t xml:space="preserve">— Nghiên cứu này chỉ ra rằng đường cong hình chữ U ngược thông thường trong các bối cảnh thị trường mới nổi bị lạm phát số không phản ánh khoảng cách hiệu quả tại rào cản tham gia xuất khẩu hơn là một đường cong bão hòa cường độ liên tục; đồng thời minh chứng rằng hệ số số hóa gộp trên biến nhị phân Tầng 1 che khuất sự lỗi thời đại diện theo tiến trình.</w:t>
      </w:r>
    </w:p>
    <w:p>
      <w:pPr>
        <w:pStyle w:val="BodyText"/>
      </w:pPr>
      <w:r>
        <w:rPr>
          <w:bCs/>
          <w:b/>
        </w:rPr>
        <w:t xml:space="preserve">Từ khóa:</w:t>
      </w:r>
      <w:r>
        <w:t xml:space="preserve"> </w:t>
      </w:r>
      <w:r>
        <w:t xml:space="preserve">quốc tế hóa–hiệu quả kinh doanh; thị trường mới nổi; năng lực công nghệ; độ bền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kinh tế toàn diện theo quốc gia: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0"/>
    <w:bookmarkStart w:id="21" w:name="điểm-nổi-bật"/>
    <w:p>
      <w:pPr>
        <w:pStyle w:val="Heading2"/>
      </w:pPr>
      <w:r>
        <w:t xml:space="preserve">Điểm Nổi Bật</w:t>
      </w:r>
    </w:p>
    <w:p>
      <w:pPr>
        <w:numPr>
          <w:ilvl w:val="0"/>
          <w:numId w:val="1001"/>
        </w:numPr>
      </w:pPr>
      <w:r>
        <w:t xml:space="preserve">Mối quan hệ quốc tế hóa–hiệu quả kinh doanh trong các doanh nghiệp Việt Nam có tính phi tuyến vững: kiểm định Lind–Mehlum bác bỏ tính đơn điệu trong cả ba đợt (2009 p = 0,006, 2015 p = 0,009, 2023 p = 0,013) và trong mẫu gộp (p &lt; 0,001), với các điểm ngoặt tập trung trong khoảng 39 đến 46% cường độ xuất khẩu trực tiếp.</w:t>
      </w:r>
    </w:p>
    <w:p>
      <w:pPr>
        <w:numPr>
          <w:ilvl w:val="0"/>
          <w:numId w:val="1001"/>
        </w:numPr>
      </w:pPr>
      <w:r>
        <w:t xml:space="preserve">Năng lực công nghệ (TCI) là cấu trúc năng lực chính: TCI_z là trung bình chuẩn hóa trong đợt của chứng nhận chất lượng và công nghệ cấp phép nước ngoài. Chỉ số website (DAI_z, chỉ Tầng 1) được giữ lại như một biến kiểm soát sự hiện diện số nền tảng do giới hạn đo lường của WBES Việt Nam; hai chỉ số này không chia sẻ bất kỳ mục đo nào.</w:t>
      </w:r>
    </w:p>
    <w:p>
      <w:pPr>
        <w:numPr>
          <w:ilvl w:val="0"/>
          <w:numId w:val="1001"/>
        </w:numPr>
      </w:pPr>
      <w:r>
        <w:t xml:space="preserve">TCI_z gắn kết tích cực với năng suất trong cả ba đợt (β = 0,215, 0,128, 0,123) và mẫu gộp (β = 0,179, p &lt; 0,001), và điều tiết độ cong trong ba trong bốn bảng (kiểm định chung M3 p = 0,040, 0,713, 0,027 và 0,003).</w:t>
      </w:r>
    </w:p>
    <w:p>
      <w:pPr>
        <w:numPr>
          <w:ilvl w:val="0"/>
          <w:numId w:val="1001"/>
        </w:numPr>
      </w:pPr>
      <w:r>
        <w:t xml:space="preserve">Điểm ngoặt hình chữ U ngược bền vững qua các đợt khảo sát: khoảng 39,3–46,2% qua 2009/2015/2023 (gộp 39,7%), một dải ~7 điểm phần trăm duy trì qua gia nhập WTO (2007), Khủng hoảng Tài chính Toàn cầu (2008–2009), thực thi CPTPP/EVFTA (2018–2020), gián đoạn COVID-19 (2020–2022), và sự phổ biến của cơ sở hạ tầng thanh toán số.</w:t>
      </w:r>
    </w:p>
    <w:p>
      <w:pPr>
        <w:numPr>
          <w:ilvl w:val="0"/>
          <w:numId w:val="1001"/>
        </w:numPr>
      </w:pPr>
      <w:r>
        <w:rPr>
          <w:bCs/>
          <w:b/>
        </w:rPr>
        <w:t xml:space="preserve">Đường cong hình chữ U ngược về cơ bản là một hàm bậc thang qua rào cản tham gia xuất khẩu hơn là một đường cong bão hòa liên tục trong nội bộ nhà xuất khẩu</w:t>
      </w:r>
      <w:r>
        <w:t xml:space="preserve">: khi ước lượng lại trên mẫu con chỉ gồm nhà xuất khẩu (FSTS &gt; 0; N gộp = 669), số hạng FSTS bậc hai mất ý nghĩa (β = -0,200, p = 0,660); chỉ ~1,0% doanh nghiệp gộp nằm trong ±5 điểm phần trăm quanh điểm ngoặt. Ma sát liên quan đến năng suất trong một nền kinh tế chuyển đổi ràng buộc tại biên tham gia, không phải tại cường độ trong nội bộ nhà xuất khẩu.</w:t>
      </w:r>
    </w:p>
    <w:p>
      <w:pPr>
        <w:numPr>
          <w:ilvl w:val="0"/>
          <w:numId w:val="1001"/>
        </w:numPr>
      </w:pPr>
      <w:r>
        <w:t xml:space="preserve">Chỉ số hiện diện website nền tảng tích cực về mặt mô tả trong năm 2009 (β = 0,175), không có ý nghĩa trong năm 2015 (β = −0,044), và dương trong năm 2023 (β = 0,095); tương tác âm DAI × FSTS chỉ quan sát được trong năm 2023 (FSTS_c × DAI_z = −0,912, p = 0,043) được hiểu là sự lỗi thời đại diện Tầng 1 khi quyền sở hữu website khuếch tán đến mức gần toàn diện (49,8% vào năm 2023 so với 42,5% vào năm 2009), không phải bằng chứng về điều tiết năng lực số động.</w:t>
      </w:r>
    </w:p>
    <w:p>
      <w:r>
        <w:pict>
          <v:rect style="width:0;height:1.5pt" o:hralign="center" o:hrstd="t" o:hr="t"/>
        </w:pict>
      </w:r>
    </w:p>
    <w:bookmarkEnd w:id="21"/>
    <w:bookmarkStart w:id="26" w:name="giới-thiệu"/>
    <w:p>
      <w:pPr>
        <w:pStyle w:val="Heading2"/>
      </w:pPr>
      <w:r>
        <w:t xml:space="preserve">1. Giới Thiệu</w:t>
      </w:r>
    </w:p>
    <w:bookmarkStart w:id="22" w:name="bối-cảnh-và-động-lực"/>
    <w:p>
      <w:pPr>
        <w:pStyle w:val="Heading3"/>
      </w:pPr>
      <w:r>
        <w:t xml:space="preserve">1.1 Bối cảnh và động lực</w:t>
      </w:r>
    </w:p>
    <w:p>
      <w:pPr>
        <w:pStyle w:val="FirstParagraph"/>
      </w:pPr>
      <w:r>
        <w:t xml:space="preserve">Việt Nam cung cấp một bối cảnh phân tích có giá trị để xem xét lại mối quan hệ quốc tế hóa–hiệu quả kinh doanh (I–P) bởi vì các doanh nghiệp mở rộng ra nước ngoài trong điều kiện chuyển đổi thể chế, tích lũy năng lực không đồng đều, và cơ sở hạ tầng số thay đổi nhanh chóng.</w:t>
      </w:r>
    </w:p>
    <w:p>
      <w:pPr>
        <w:pStyle w:val="BodyText"/>
      </w:pPr>
      <w:r>
        <w:t xml:space="preserve">Trong các bối cảnh như vậy, quốc tế hóa không nên được giả định là tạo ra một lợi nhuận tuyến tính đơn giản. Các doanh nghiệp có thể tiếp cận thị trường lớn hơn, được lợi từ học hỏi, và đa dạng hóa dòng doanh thu, nhưng họ cũng có thể đối mặt với chi phí phối hợp tăng cao, gánh nặng xử lý thông tin, và áp lực tổ chức khi sự tham gia nước ngoài sâu hơn (Wright và cộng sự, 2005; Cuervo-Cazurra và Genc, 2008; Wu và cộng sự, 2016).</w:t>
      </w:r>
    </w:p>
    <w:p>
      <w:pPr>
        <w:pStyle w:val="BodyText"/>
      </w:pPr>
      <w:r>
        <w:t xml:space="preserve">Sự căng thẳng này nằm ở trung tâm của tài liệu I–P. Một truyền thống nghiên cứu lâu dài lập luận rằng quốc tế hóa có thể cải thiện hiệu quả ở mức độ thấp và trung bình thông qua quy mô, học hỏi, và đa dạng hóa, trong khi cũng tạo ra lợi nhuận giảm dần hoặc âm ở mức độ cao hơn do phức tạp và gánh nặng phối hợp. Bằng chứng phân tích tổng hợp hỗ trợ mạnh mẽ quan điểm rằng tính phi tuyến là đặc trưng trung tâm của mối quan hệ này hơn là một dị thường thực nghiệm (Vernon, 1979; Lu và Beamish, 2004; Hennart, 2007; Coviello và cộng sự, 2017; Marano và cộng sự, 2016).</w:t>
      </w:r>
    </w:p>
    <w:p>
      <w:pPr>
        <w:pStyle w:val="BodyText"/>
      </w:pPr>
      <w:r>
        <w:t xml:space="preserve">Số hóa bổ sung thêm một lớp phức tạp cho cuộc tranh luận này. Các công cụ số có thể giảm ma sát truyền thông, đẩy nhanh giao dịch, và hỗ trợ phối hợp xuyên biên giới. Tuy nhiên những lợi ích đó không phát sinh tự động. Giá trị thực hiện của chúng phụ thuộc vào việc các doanh nghiệp có sở hữu chiều sâu tổ chức, năng lực hấp thụ, và các thói quen bổ sung cần thiết để chuyển đổi việc áp dụng số thành lợi nhuận năng suất hay không (Cohen và Levinthal, 1990; Vial, 2019; Verhoef và cộng sự, 2021; Stallkamp và Schotter, 2021; Petricevic và Teece, 2019). Vì lý do này, năng lực số không nên được xem là một nguồn lực có lợi phổ quát mà lợi nhuận không đổi qua các doanh nghiệp và theo thời gian.</w:t>
      </w:r>
    </w:p>
    <w:p>
      <w:pPr>
        <w:pStyle w:val="BodyText"/>
      </w:pPr>
      <w:r>
        <w:t xml:space="preserve">Bối cảnh Việt Nam làm cho vấn đề này đặc biệt quan trọng. Vì các doanh nghiệp gắn liền với một nền kinh tế đang trải qua nâng cấp năng lực và chuyển đổi số, cả lợi ích của quốc tế hóa và lợi nhuận từ số hóa có thể thay đổi qua các giai đoạn phát triển. Điều này đặt ra câu hỏi trọng tâm cho nghiên cứu này: liệu năng lực số ở Việt Nam có hoạt động như một tài sản nâng cao hiệu quả ổn định, hay nó hoạt động như một nguồn lực phụ thuộc giai đoạn mà giá trị thay đổi theo vòng đời của quốc tế hóa?</w:t>
      </w:r>
    </w:p>
    <w:p>
      <w:pPr>
        <w:pStyle w:val="BodyText"/>
      </w:pPr>
      <w:r>
        <w:t xml:space="preserve">Ba điểm ngoặt thể chế định hình cửa sổ quan sát. Việt Nam gia nhập Tổ chức Thương mại Thế giới vào đầu năm 2007, mở ra giai đoạn trước đợt khảo sát 2009 và chuyển đổi một nhóm cùng đợt (cohort) xuất khẩu theo định hướng nội địa thành một nhóm có phạm vi thị trường rộng hơn nhưng cơ sở hạ tầng hấp thụ hạn chế. Đợt 2015 nắm bắt giữa giai đoạn thứ hai, trong đó xuất khẩu sản xuất mở rộng cùng tồn tại với cơ sở hạ tầng thương mại số chưa phát triển, tích hợp logistics xuyên biên giới yếu, và nhóm xuất khẩu vẫn tập trung trong các phân khúc thâm dụng lao động. Đợt 2023 theo sau sự ra mắt Chương trình Chuyển đổi Số Quốc gia năm 2020, sự mở rộng nhanh chóng của các nền tảng thanh toán điện tử và thương mại điện tử xuyên biên giới, và sự tái cân bằng đầu tư trực tiếp nước ngoài hướng đến sản xuất qua trung gian số và liên kết dịch vụ. Ba đợt khảo sát do đó quan sát các doanh nghiệp trong các kết hợp cấu trúc khác nhau về áp lực quốc tế hóa và sẵn có cơ sở hạ tầng số, điều này làm cho bài đọc vòng đời có thể kiểm định được hơn là thuần túy khái niệm.</w:t>
      </w:r>
    </w:p>
    <w:p>
      <w:pPr>
        <w:pStyle w:val="BodyText"/>
      </w:pPr>
      <w:r>
        <w:t xml:space="preserve">Những thay đổi này không mang tính bề ngoài. Bản thân thành phần của nhóm xuất khẩu tiến triển qua ba đợt: tỷ lệ doanh nghiệp báo cáo bất kỳ cường độ xuất khẩu trực tiếp dương nào giảm khi các doanh nghiệp dịch vụ và chuỗi cung ứng liên kết FDI gia nhập mẫu, trong khi mức độ trung bình của Năng lực số (DAI) nền tảng tăng cùng với sự phổ biến của website, hệ thống thanh toán điện tử, và giao diện giao dịch số. Đọc mối quan hệ I–P và kênh áp dụng số như các sự kiện cấu trúc cố định qua cửa sổ mười bốn năm này bỏ lỡ thực tế rằng dân số doanh nghiệp cơ bản, chi phí phối hợp ràng buộc, và giàn giáo thể chế cho thương mại xuyên biên giới đều thay đổi đáng kể.</w:t>
      </w:r>
    </w:p>
    <w:p>
      <w:pPr>
        <w:pStyle w:val="BodyText"/>
      </w:pPr>
      <w:r>
        <w:t xml:space="preserve">Một quy luật thực nghiệm trung tâm nổi lên từ thiết kế này là đường cong hình chữ U ngược được quan sát trong mẫu đầy đủ về cơ bản được thúc đẩy bởi biên tham gia — khoảng cách năng suất giữa các doanh nghiệp vượt qua từ không xuất khẩu sang bất kỳ cường độ xuất khẩu dương nào — hơn là bởi sự bão hòa chi phí phối hợp trong mẫu con nhà xuất khẩu. Một khi sự tham gia được loại bỏ, độ cong cường độ trong nội bộ nhà xuất khẩu không thể phân biệt về mặt thống kê với phẳng. Do đó mô hình Việt Nam đọc như một</w:t>
      </w:r>
      <w:r>
        <w:t xml:space="preserve"> </w:t>
      </w:r>
      <w:r>
        <w:rPr>
          <w:iCs/>
          <w:i/>
        </w:rPr>
        <w:t xml:space="preserve">hàm bậc thang qua ngưỡng gia nhập xuất khẩu</w:t>
      </w:r>
      <w:r>
        <w:t xml:space="preserve"> </w:t>
      </w:r>
      <w:r>
        <w:t xml:space="preserve">trong một nền kinh tế chuyển đổi, không phải là một đường cong bão hòa liên tục theo nghĩa phân tích tổng hợp được ghi lại trong các mẫu thị trường phát triển.</w:t>
      </w:r>
    </w:p>
    <w:bookmarkEnd w:id="22"/>
    <w:bookmarkStart w:id="23" w:name="khoảng-trống-nghiên-cứu"/>
    <w:p>
      <w:pPr>
        <w:pStyle w:val="Heading3"/>
      </w:pPr>
      <w:r>
        <w:t xml:space="preserve">1.2 Khoảng trống nghiên cứu</w:t>
      </w:r>
    </w:p>
    <w:p>
      <w:pPr>
        <w:pStyle w:val="FirstParagraph"/>
      </w:pPr>
      <w:r>
        <w:t xml:space="preserve">Ba khoảng trống thúc đẩy nghiên cứu này.</w:t>
      </w:r>
    </w:p>
    <w:p>
      <w:pPr>
        <w:pStyle w:val="BodyText"/>
      </w:pPr>
      <w:r>
        <w:t xml:space="preserve">Thứ nhất, các công trình hiện có thường xem số hóa như một nguồn lực có lợi rộng rãi mà không chú ý đủ đến sự biến đổi theo thời gian và bối cảnh trong lợi nhuận của nó. Cách xử lý như vậy có nguy cơ ngụ ý rằng áp dụng số tạo ra một lợi nhuận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thói quen, và năng lực bổ sung.</w:t>
      </w:r>
    </w:p>
    <w:p>
      <w:pPr>
        <w:pStyle w:val="BodyText"/>
      </w:pPr>
      <w:r>
        <w:t xml:space="preserve">Thứ hai, sự phân biệt giữa năng lực công nghệ và Năng lực số vẫn còn kém phát triển. Năng lực công nghệ đề cập đến các kho lưu trữ học hỏi, giải quyết vấn đề, cải tiến quy trình, và năng lực đổi mới sâu hơn trong nội bộ doanh nghiệp (Lall, 1992). Ngược lại, Năng lực số nền tảng phản ánh một lớp cơ bản hơn của sự sẵn sàng số và giao diện hoặc cơ chế giao dịch được kích hoạt số (Bharadwaj và cộng sự, 2013; Verhoef và cộng sự, 2021; Hanelt và cộng sự, 2021; Brouthers và cộng sự, 2016). Mặc dù các cấu trúc này có liên quan, chúng không nên được xem là có thể thay thế cho nhau.</w:t>
      </w:r>
    </w:p>
    <w:p>
      <w:pPr>
        <w:pStyle w:val="BodyText"/>
      </w:pPr>
      <w:r>
        <w:t xml:space="preserve">Thứ ba, các ước lượng gộp có thể che khuất sự không đồng nhất đáng kể theo vòng đời. Trong một bối cảnh như Việt Nam, nơi các doanh nghiệp và thể chế trải qua các giai đoạn chuyển đổi riêng biệt, vai trò của quốc tế hóa, năng lực công nghệ, và áp dụng số có thể thay đổi đáng kể qua các đợt khảo sát.</w:t>
      </w:r>
    </w:p>
    <w:p>
      <w:pPr>
        <w:pStyle w:val="BodyText"/>
      </w:pPr>
      <w:r>
        <w:t xml:space="preserve">Công trình phân tích tổng hợp gần đây củng cố mối lo ngại này. Pisani, Garcia-Bernardo, và Heemskerk (2020, SMJ) minh chứng rằng mối quan hệ hình chữ U ngược giữa quốc tế hóa và hiệu quả suy yếu đáng kể — và đôi khi biến mất — dưới sự nhận diện nghiêm ngặt hơn trong các mẫu gộp đa quốc gia. Wu, Fan, và Chen (2022, MIR) mở rộng lập luận này bằng cách chỉ ra trong một phân tích tổng hợp về các công ty đa quốc gia thị trường mới nổi (EMNE) rằng bối cảnh thể chế điều tiết quy mô hiệu ứng I–P mạnh hơn các biến năng lực cấp doanh nghiệp.</w:t>
      </w:r>
    </w:p>
    <w:p>
      <w:pPr>
        <w:pStyle w:val="BodyText"/>
      </w:pPr>
      <w:r>
        <w:t xml:space="preserve">Hồ sơ kinh tế vĩ mô và thương mại của Việt Nam vào cuối cửa sổ quan sát xác nhận bối cảnh chuyển đổi: tăng trưởng GDP đạt 7,09% vào năm 2024, dòng vào FDI là 20,17 tỷ USD (4,23% GDP), và cấu trúc xuất khẩu chuyển dịch đáng kể hướng đến máy móc và điện tử — ở mức 45,8% tổng giá trị thương mại, thay thế cụm dệt may chiếm ưu thế lịch sử — phản ánh nâng cấp cấu trúc trong năng lực sản xuất (Ngân hàng Thế giới, 2025c).</w:t>
      </w:r>
    </w:p>
    <w:bookmarkEnd w:id="23"/>
    <w:bookmarkStart w:id="24" w:name="đóng-góp"/>
    <w:p>
      <w:pPr>
        <w:pStyle w:val="Heading3"/>
      </w:pPr>
      <w:r>
        <w:t xml:space="preserve">1.3 Đóng góp</w:t>
      </w:r>
    </w:p>
    <w:p>
      <w:pPr>
        <w:pStyle w:val="FirstParagraph"/>
      </w:pPr>
      <w:r>
        <w:t xml:space="preserve">Nghiên cứu này đóng góp ba điểm cho tài liệu.</w:t>
      </w:r>
    </w:p>
    <w:p>
      <w:pPr>
        <w:pStyle w:val="BodyText"/>
      </w:pPr>
      <w:r>
        <w:t xml:space="preserve">Thứ nhất, nghiên cứu tinh chỉnh cuộc tranh luận I–P bằng cách chỉ ra rằng bằng chứng Việt Nam hỗ trợ mối quan hệ phi tuyến, nhưng sự nổi bật và khả năng nhìn thấy của mối quan hệ đó thay đổi theo thời gian. Thay vì xem tính phi tuyến như một sự kiện cấu trúc cố định xuất hiện giống hệt nhau trong mọi giai đoạn, phân tích chỉ ra rằng đường cong I–P phải được đọc kết hợp với môi trường năng lực rộng hơn.</w:t>
      </w:r>
    </w:p>
    <w:p>
      <w:pPr>
        <w:pStyle w:val="BodyText"/>
      </w:pPr>
      <w:r>
        <w:t xml:space="preserve">Thứ hai, nghiên cứu cải thiện độ hiệu lực cấu trúc bằng cách tách biệt năng lực công nghệ khỏi Năng lực số nền tảng. Sự phân biệt này quan trọng về mặt lý thuyết vì các kho năng lực sâu hơn và kích hoạt số cơ bản có thể tạo ra hiệu quả thông qua các kênh khác nhau. Nó cũng quan trọng về mặt thực nghiệm vì hai cấu trúc này không thể hiện các mô hình giống hệt nhau qua các đợt Việt Nam.</w:t>
      </w:r>
    </w:p>
    <w:p>
      <w:pPr>
        <w:pStyle w:val="BodyText"/>
      </w:pPr>
      <w:r>
        <w:t xml:space="preserve">Thứ ba, nghiên cứu đưa ra một giải thích phụ thuộc giai đoạn, xuyên đợt về quốc tế hóa số. Vì dữ liệu WBES là các mặt cắt ngang lặp lại hơn là một bảng doanh nghiệp, các quỹ đạo trong nội bộ doanh nghiệp không thể được quan sát trực tiếp; tuy nhiên bằng chứng xuyên đợt gợi ý rằng năng lực số không phải là một lợi nhuận ổn định phổ quát cũng không phải là nguồn lực không hiệu quả một cách đồng nhất.</w:t>
      </w:r>
    </w:p>
    <w:p>
      <w:pPr>
        <w:pStyle w:val="BodyText"/>
      </w:pPr>
      <w:r>
        <w:t xml:space="preserve">Một đóng góp thứ tư tái định khung chính bản thân đường cong hình chữ U ngược: bằng chứng Việt Nam chỉ ra rằng điểm ngoặt được nhận diện vững (39–46% FSTS) nổi lên như một</w:t>
      </w:r>
      <w:r>
        <w:t xml:space="preserve"> </w:t>
      </w:r>
      <w:r>
        <w:rPr>
          <w:iCs/>
          <w:i/>
        </w:rPr>
        <w:t xml:space="preserve">hàm bậc thang qua rào cản tham gia xuất khẩu</w:t>
      </w:r>
      <w:r>
        <w:t xml:space="preserve"> </w:t>
      </w:r>
      <w:r>
        <w:t xml:space="preserve">hơn là một đường cong bão hòa chi phí phối hợp liên tục. Sự phân tách rõ ràng: khi ước lượng lại trên mẫu con chỉ gồm nhà xuất khẩu, số hạng FSTS bậc hai thu về β = -0,200 không có ý nghĩa (p = 0,660), và chỉ ~1,0% doanh nghiệp gộp chiếm vùng lân cận ±5 điểm phần trăm quanh điểm ngoặt.</w:t>
      </w:r>
    </w:p>
    <w:bookmarkEnd w:id="24"/>
    <w:bookmarkStart w:id="25" w:name="lộ-trình-bài-báo"/>
    <w:p>
      <w:pPr>
        <w:pStyle w:val="Heading3"/>
      </w:pPr>
      <w:r>
        <w:t xml:space="preserve">1.4 Lộ trình bài báo</w:t>
      </w:r>
    </w:p>
    <w:p>
      <w:pPr>
        <w:pStyle w:val="FirstParagraph"/>
      </w:pPr>
      <w:r>
        <w:t xml:space="preserve">Phần còn lại của bài báo được tổ chức như sau. Phần 2 phát triển khung lý thuyết và các giả thuyết. Phần 3 mô tả dữ liệu, biến số, và chiến lược thực nghiệm. Phần 4 trình bày kết quả. Phần 5 thảo luận các hàm ý lý thuyết và quản lý. Phần 6 kết luận.</w:t>
      </w:r>
    </w:p>
    <w:p>
      <w:r>
        <w:pict>
          <v:rect style="width:0;height:1.5pt" o:hralign="center" o:hrstd="t" o:hr="t"/>
        </w:pict>
      </w:r>
    </w:p>
    <w:bookmarkEnd w:id="25"/>
    <w:bookmarkEnd w:id="26"/>
    <w:bookmarkStart w:id="31" w:name="lý-thuyết-và-giả-thuyết"/>
    <w:p>
      <w:pPr>
        <w:pStyle w:val="Heading2"/>
      </w:pPr>
      <w:r>
        <w:t xml:space="preserve">2. Lý Thuyết và Giả Thuyết</w:t>
      </w:r>
    </w:p>
    <w:bookmarkStart w:id="27" w:name="quốc-tế-hóa-và-hiệu-quả-doanh-nghiệp"/>
    <w:p>
      <w:pPr>
        <w:pStyle w:val="Heading3"/>
      </w:pPr>
      <w:r>
        <w:t xml:space="preserve">2.1 Quốc tế hóa và hiệu quả doanh nghiệp</w:t>
      </w:r>
    </w:p>
    <w:p>
      <w:pPr>
        <w:pStyle w:val="FirstParagraph"/>
      </w:pPr>
      <w:r>
        <w:t xml:space="preserve">Mối quan hệ giữa quốc tế hóa và hiệu quả doanh nghiệp khó có thể tuyến tính trong một nền kinh tế chuyển đổi như Việt Nam. Mở rộng ra nước ngoài có thể cải thiện hiệu quả thông qua phạm vi thị trường lớn hơn, đa dạng hóa, và học hỏi từ môi trường bên ngoài.</w:t>
      </w:r>
    </w:p>
    <w:p>
      <w:pPr>
        <w:pStyle w:val="BodyText"/>
      </w:pPr>
      <w:r>
        <w:t xml:space="preserve">Đồng thời, sự tham gia quốc tế sâu hơn thường tạo ra chi phí phối hợp và gánh nặng tổ chức. Các doanh nghiệp phải quản lý nhiều thị trường, điều chỉnh các nhu cầu khách hàng đa dạng, xử lý nhiều thông tin hơn, và duy trì kiểm soát quản lý lớn hơn. Khi mở rộng nước ngoài tăng cường, những chi phí này có thể tăng nhanh hơn lợi ích, tạo ra lợi nhuận giảm dần hoặc thậm chí suy giảm hiệu quả.</w:t>
      </w:r>
    </w:p>
    <w:p>
      <w:pPr>
        <w:pStyle w:val="BodyText"/>
      </w:pPr>
      <w:r>
        <w:t xml:space="preserve">Hai lực đối lập làm nền tảng cho độ cong. Về mặt tích cực, tăng cường độ xuất khẩu (Cường độ xuất khẩu — Foreign Sales to Total Sales — FSTS) trực tiếp tạo ra kinh tế quy mô, tràn kiến thức từ khách hàng nước ngoài, và hiệu ứng học hỏi qua xuất khẩu nâng cao năng suất (Wagner, 2007). Về mặt tiêu cực, phối hợp sản xuất cho các thị trường cách xa về thể chế áp đặt chi phí xử lý thông tin tăng phi tuyến: mỗi thị trường nước ngoài bổ sung thêm nhu cầu tuân thủ, chi phí quản lý quan hệ khách hàng, và sự phụ thuộc chuỗi cung ứng có chi phí phối hợp biên tăng nhanh hơn lợi ích quy mô biên vượt qua một ngưỡng.</w:t>
      </w:r>
    </w:p>
    <w:p>
      <w:pPr>
        <w:pStyle w:val="BodyText"/>
      </w:pPr>
      <w:r>
        <w:t xml:space="preserve">Cơ chế là chi phí giao dịch thể chế (Williamson, 1985; Hennart, 2007): trong một nền kinh tế chuyển đổi, khoảng cách thực thi, thiếu hụt logistics, và bất cân xứng thông tin nâng cao chi phí biên của việc quản lý mỗi thị trường nước ngoài bổ sung.</w:t>
      </w:r>
    </w:p>
    <w:p>
      <w:pPr>
        <w:pStyle w:val="BodyText"/>
      </w:pPr>
      <w:r>
        <w:t xml:space="preserve">Xem xét thứ hai phát sinh từ cấu trúc của cường độ xuất khẩu trực tiếp trong WBES Việt Nam: biến FSTS bị chặn ở không và bị lạm phát số không nặng (tỷ lệ không xuất khẩu là 71,6% vào năm 2009, 79,3% vào năm 2015 và 81,2% vào năm 2023; gộp 77,4%). Do đó mối quan hệ I–P bao gồm hai biên phân tích riêng biệt. Biên tham gia là bước từ FSTS = 0 đến FSTS &gt; 0, nơi các doanh nghiệp vượt qua ngưỡng gia nhập thị trường quốc tế. Biên cường độ là sự biến đổi của FSTS trong mẫu con nhà xuất khẩu.</w:t>
      </w:r>
    </w:p>
    <w:p>
      <w:pPr>
        <w:pStyle w:val="BodyText"/>
      </w:pPr>
      <w:r>
        <w:rPr>
          <w:bCs/>
          <w:b/>
        </w:rPr>
        <w:t xml:space="preserve">H1.</w:t>
      </w:r>
      <w:r>
        <w:t xml:space="preserve"> </w:t>
      </w:r>
      <w:r>
        <w:t xml:space="preserve">Mối quan hệ quốc tế hóa–hiệu quả kinh doanh tại Việt Nam là không đơn điệu trong mẫu đầy đủ và được hiểu rõ nhất thông qua cấu trúc tham gia và cường độ trong một bối cảnh xuất khẩu bị lạm phát số không. (H1a, biên tham gia) Vượt qua từ không xuất khẩu (FSTS = 0) sang xuất khẩu (FSTS &gt; 0) gắn kết tích cực với năng suất lao động. (H1b, biên cường độ) Trong mẫu con nhà xuất khẩu, cường độ xuất khẩu trực tiếp bổ sung được kỳ vọng thể hiện lợi nhuận biên yếu hơn, giảm dần, hoặc không có ý nghĩa so với biên tham gia.</w:t>
      </w:r>
    </w:p>
    <w:bookmarkEnd w:id="27"/>
    <w:bookmarkStart w:id="28" w:name="Xae0e960bd01800aa57df0a5722df8b94063e114"/>
    <w:p>
      <w:pPr>
        <w:pStyle w:val="Heading3"/>
      </w:pPr>
      <w:r>
        <w:t xml:space="preserve">2.2 Năng lực công nghệ và công nghệ nước ngoài–tiêu chuẩn và hiệu quả doanh nghiệp</w:t>
      </w:r>
    </w:p>
    <w:p>
      <w:pPr>
        <w:pStyle w:val="FirstParagraph"/>
      </w:pPr>
      <w:r>
        <w:t xml:space="preserve">Theo truyền thống Lall (1992) cho các doanh nghiệp thị trường mới nổi, bài báo này sử dụng cách đọc chặt chẽ về đo lường năng lực công nghệ: một năng lực công nghệ nước ngoài và tiêu chuẩn nắm bắt sự tiếp xúc của doanh nghiệp với các đầu vào công nghệ được xác nhận bên ngoài — chứng nhận chất lượng được quốc tế công nhận và công nghệ cấp phép nước ngoài. Đây là một khía cạnh có thể quan sát của cấu trúc năng lực hấp thụ rộng hơn của Cohen và Levinthal (1990) và cấu trúc năng lực động của Teece (2007).</w:t>
      </w:r>
    </w:p>
    <w:p>
      <w:pPr>
        <w:pStyle w:val="BodyText"/>
      </w:pPr>
      <w:r>
        <w:rPr>
          <w:bCs/>
          <w:b/>
        </w:rPr>
        <w:t xml:space="preserve">H2.</w:t>
      </w:r>
      <w:r>
        <w:t xml:space="preserve"> </w:t>
      </w:r>
      <w:r>
        <w:t xml:space="preserve">Năng lực công nghệ nước ngoài/tiêu chuẩn (TCI_z) gắn kết tích cực với hiệu quả doanh nghiệp tại Việt Nam.</w:t>
      </w:r>
    </w:p>
    <w:bookmarkEnd w:id="28"/>
    <w:bookmarkStart w:id="29" w:name="X1d467db488610c55d843d5838d77304013a7fd8"/>
    <w:p>
      <w:pPr>
        <w:pStyle w:val="Heading3"/>
      </w:pPr>
      <w:r>
        <w:t xml:space="preserve">2.3 Sự hiện diện số dựa trên website và hiệu quả doanh nghiệp</w:t>
      </w:r>
    </w:p>
    <w:p>
      <w:pPr>
        <w:pStyle w:val="FirstParagraph"/>
      </w:pPr>
      <w:r>
        <w:t xml:space="preserve">DAI_z chính được sử dụng trong bài báo này là một thước đo sự hiện diện số dựa trên website: một chỉ số nhị phân về việc doanh nghiệp có website riêng hay không. Đây là một dấu hiệu nền tảng và có thể so sánh qua các đợt của việc áp dụng số — nó không đo lường tích hợp số ở cấp độ giao dịch, cơ sở hạ tầng thanh toán điện tử, hoặc chuyển đổi số theo nghĩa của Bharadwaj và cộng sự (2013) / Verhoef và cộng sự (2021) / Vial (2019).</w:t>
      </w:r>
    </w:p>
    <w:p>
      <w:pPr>
        <w:pStyle w:val="BodyText"/>
      </w:pPr>
      <w:r>
        <w:t xml:space="preserve">Theo Verhoef và cộng sự (2021), năng lực số có thể được phân loại theo bốn cấp bậc: Tầng 1 — sự hiện diện số (websites, email); Tầng 2 — truyền thông số và thương mại điện tử cơ bản; Tầng 3 — tích hợp quy trình số (thanh toán điện tử, số hóa chuỗi cung ứng); Tầng 4 — năng lực số động (ra quyết định dựa trên dữ liệu, tích hợp AI). DAI_z chính neo ở Tầng 1 mà thôi. Một phần mở rộng kiểu Tầng 3 (DAI_rich) được báo cáo trong Bảng B của Phần 4.5 cho đợt 2023, khi các mục thanh toán điện tử trở nên có sẵn (k33, k38). Nhãn</w:t>
      </w:r>
      <w:r>
        <w:t xml:space="preserve"> </w:t>
      </w:r>
      <w:r>
        <w:t xml:space="preserve">“</w:t>
      </w:r>
      <w:r>
        <w:t xml:space="preserve">áp dụng số nền tảng</w:t>
      </w:r>
      <w:r>
        <w:t xml:space="preserve">”</w:t>
      </w:r>
      <w:r>
        <w:t xml:space="preserve"> </w:t>
      </w:r>
      <w:r>
        <w:t xml:space="preserve">(foundational digital adoption) do đó theo dõi những gì cấu trúc có thể thực sự xác định qua cửa sổ 2009–2023.</w:t>
      </w:r>
    </w:p>
    <w:p>
      <w:pPr>
        <w:pStyle w:val="BodyText"/>
      </w:pPr>
      <w:r>
        <w:t xml:space="preserve">Đối với các doanh nghiệp tham gia thị trường nước ngoài, ngay cả áp dụng website nền tảng cũng có thể có giá trị. Website giảm chi phí mà qua đó khách hàng nước ngoài có thể tìm thấy doanh nghiệp, hỗ trợ giao tiếp bất đồng bộ qua các múi giờ, và tín hiệu tính hợp pháp cơ bản trong các giao dịch quốc tế. Phạm vi của những lợi ích này bị giới hạn — website không tự nó tích hợp giao dịch, chuỗi cung ứng, hoặc ra quyết định — và lợi nhuận thực hiện phụ thuộc vào việc doanh nghiệp có quy mô và thói quen để chuyển đổi khả năng hiển thị trực tuyến thành kinh doanh xuất khẩu hay không. Tính liên quan thông tin của website có thể đã thay đổi qua cửa sổ 2009–2023: vào năm 2009, website là giao diện thị trường phân biệt; đến năm 2023, nó gần với chỉ dấu thông lệ của sự hiện diện số cơ bản.</w:t>
      </w:r>
    </w:p>
    <w:p>
      <w:pPr>
        <w:pStyle w:val="BodyText"/>
      </w:pPr>
      <w:r>
        <w:t xml:space="preserve">Vì DAI_z thu về một mục nhị phân duy nhất — c22b (sự hiện diện website riêng) — nó nắm bắt sự hiện diện số Tầng 1 hơn là năng lực số động. Đến năm 2023, quyền sở hữu website đã khuếch tán đến gần một nửa dân số doanh nghiệp Việt Nam (49,8% vào năm 2023 so với 42,5% vào năm 2009) và ngày càng hoạt động như một yếu tố vệ sinh tổ chức hơn là một dấu hiệu của chiến lược số.</w:t>
      </w:r>
      <w:r>
        <w:t xml:space="preserve"> </w:t>
      </w:r>
      <w:r>
        <w:rPr>
          <w:bCs/>
          <w:b/>
        </w:rPr>
        <w:t xml:space="preserve">Do đó, DAI_z không được chính thức hóa như một cấu trúc mang giả thuyết chính trong bài báo này.</w:t>
      </w:r>
      <w:r>
        <w:t xml:space="preserve"> </w:t>
      </w:r>
      <w:r>
        <w:t xml:space="preserve">DAI_z được giữ lại trong tất cả các đặc tả như một biến kiểm soát sự hiện diện số nền tảng để hấp thụ phương sai quyền sở hữu website, và mối liên kết mức của nó với năng suất được báo cáo mô tả.</w:t>
      </w:r>
    </w:p>
    <w:p>
      <w:pPr>
        <w:pStyle w:val="BodyText"/>
      </w:pPr>
      <w:r>
        <w:rPr>
          <w:bCs/>
          <w:b/>
        </w:rPr>
        <w:t xml:space="preserve">Lưu ý phạm vi WBES.</w:t>
      </w:r>
      <w:r>
        <w:t xml:space="preserve"> </w:t>
      </w:r>
      <w:r>
        <w:t xml:space="preserve">Vì công cụ WBES Việt Nam chỉ mang chỉ số nhị phân sự hiện diện website (c22b) có thể so sánh qua các đợt 2009/2015/2023, bài báo này không cố gắng kiểm định các cơ chế chuyển đổi số cấp cao hơn như ra quyết định dựa trên dữ liệu, tích hợp AI, hoặc số hóa quy trình dựa trên ERP. Bất kỳ hệ số mô tả nào trên DAI_z nên được đọc là phản ánh sự biến đổi sự hiện diện số nền tảng, không phải năng lực số động.</w:t>
      </w:r>
    </w:p>
    <w:bookmarkEnd w:id="29"/>
    <w:bookmarkStart w:id="30" w:name="giá-trị-số-phụ-thuộc-giai-đoạn"/>
    <w:p>
      <w:pPr>
        <w:pStyle w:val="Heading3"/>
      </w:pPr>
      <w:r>
        <w:t xml:space="preserve">2.4 Giá trị số phụ thuộc giai đoạn</w:t>
      </w:r>
    </w:p>
    <w:p>
      <w:pPr>
        <w:pStyle w:val="FirstParagraph"/>
      </w:pPr>
      <w:r>
        <w:t xml:space="preserve">Vì công cụ WBES Việt Nam không thể xác định năng lực số Tầng 2–4 qua các đợt, bài báo này không đưa ra một tuyên bố chuyển đổi số chính. Cuộc thảo luận sau đây đóng khung một</w:t>
      </w:r>
      <w:r>
        <w:t xml:space="preserve"> </w:t>
      </w:r>
      <w:r>
        <w:rPr>
          <w:iCs/>
          <w:i/>
        </w:rPr>
        <w:t xml:space="preserve">thăm dò thứ yếu, khám phá</w:t>
      </w:r>
      <w:r>
        <w:t xml:space="preserve"> </w:t>
      </w:r>
      <w:r>
        <w:t xml:space="preserve">về việc liệu chỉ số website Tầng 1 có tương tác với cường độ xuất khẩu khác nhau qua các đợt hay không.</w:t>
      </w:r>
    </w:p>
    <w:p>
      <w:pPr>
        <w:pStyle w:val="BodyText"/>
      </w:pPr>
      <w:r>
        <w:rPr>
          <w:bCs/>
          <w:b/>
        </w:rPr>
        <w:t xml:space="preserve">Hai cơ chế song song đằng sau bất kỳ sự nén DAI nào ở đợt muộn.</w:t>
      </w:r>
      <w:r>
        <w:t xml:space="preserve"> </w:t>
      </w:r>
      <w:r>
        <w:t xml:space="preserve">Bất kỳ tương tác âm DAI × FSTS nào được quan sát ở các đợt muộn có thể được đọc qua hai cơ chế bổ sung mà bài báo này coi là hoạt động đồng thời hơn là loại trừ lẫn nhau.</w:t>
      </w:r>
      <w:r>
        <w:t xml:space="preserve"> </w:t>
      </w:r>
      <w:r>
        <w:rPr>
          <w:iCs/>
          <w:i/>
        </w:rPr>
        <w:t xml:space="preserve">Cơ chế A — tính phức tạp phối hợp phụ thuộc giai đoạn</w:t>
      </w:r>
      <w:r>
        <w:t xml:space="preserve">: ở cường độ xuất khẩu cao, nhu cầu phối hợp biên của các giao dịch xuyên biên giới bổ sung vượt quá những gì một chỉ số website Tầng 1 đơn lẻ có thể hỗ trợ; ma sát ràng buộc là sự vắng mặt của tích hợp quy trình Tầng 2–3 sâu hơn, thanh toán, và số hóa logistics hơn là bản thân website.</w:t>
      </w:r>
      <w:r>
        <w:t xml:space="preserve"> </w:t>
      </w:r>
      <w:r>
        <w:rPr>
          <w:iCs/>
          <w:i/>
        </w:rPr>
        <w:t xml:space="preserve">Cơ chế B — lỗi thời cấu trúc dưới khuếch tán dân số</w:t>
      </w:r>
      <w:r>
        <w:t xml:space="preserve">: khi quyền sở hữu website khuếch tán đến gần giới hạn trên gần phổ quát (49,8% vào năm 2023 so với 42,5% năm 2009), chỉ số c22b ngày càng hoạt động như chỉ dấu vệ sinh tổ chức hơn là tín hiệu năng lực phân biệt, do đó mối liên kết đo lường của nó với năng suất suy giảm mà không có thay đổi cấu trúc nào trong cơ chế phối hợp cơ bản. Hai cách đọc này tương ứng với các nguồn khác nhau của cùng một mô hình thực nghiệm, và thiết kế 2009/2015/2023 không thể tách đầy đủ hai kênh trong phạm vi công cụ Tầng 1 WBES.</w:t>
      </w:r>
    </w:p>
    <w:p>
      <w:pPr>
        <w:pStyle w:val="BodyText"/>
      </w:pPr>
      <w:r>
        <w:rPr>
          <w:bCs/>
          <w:b/>
        </w:rPr>
        <w:t xml:space="preserve">H4 (thăm dò khám phá — không phải giả thuyết chính).</w:t>
      </w:r>
      <w:r>
        <w:t xml:space="preserve"> </w:t>
      </w:r>
      <w:r>
        <w:t xml:space="preserve">Tính liên quan đến năng suất của sự hiện diện website nền tảng (DAI_z, chỉ Tầng 1) có thể thay đổi qua các giai đoạn quốc tế hóa và chuyển đổi thể chế. Bất kỳ điều tiết nào của đường cong cường độ xuất khẩu bởi sự hiện diện số nền tảng do đó được kỳ vọng là theo đợt cụ thể hơn là có mặt đồng đều qua các giai đoạn, với khả năng phát hiện trong mẫu mạnh nhất được kỳ vọng ở đợt 2023.</w:t>
      </w:r>
      <w:r>
        <w:t xml:space="preserve"> </w:t>
      </w:r>
      <w:r>
        <w:rPr>
          <w:iCs/>
          <w:i/>
        </w:rPr>
        <w:t xml:space="preserve">Thăm dò này được báo cáo theo dạng mô tả; chỉ số nhị phân Tầng 1 hiện có không thể phân xử các tuyên bố chuyển đổi số rộng hơn, và kết quả null hoặc thay đổi dấu trên H4 nên được đọc là sự lỗi thời cấp cấu trúc hơn là bằng chứng chống lại điều tiết năng lực số động.</w:t>
      </w:r>
    </w:p>
    <w:p>
      <w:r>
        <w:pict>
          <v:rect style="width:0;height:1.5pt" o:hralign="center" o:hrstd="t" o:hr="t"/>
        </w:pict>
      </w:r>
    </w:p>
    <w:bookmarkEnd w:id="30"/>
    <w:bookmarkEnd w:id="31"/>
    <w:bookmarkStart w:id="36" w:name="X6cd01f3f93342cb6b133880f2af4f5075c693ce"/>
    <w:p>
      <w:pPr>
        <w:pStyle w:val="Heading2"/>
      </w:pPr>
      <w:r>
        <w:t xml:space="preserve">3. Dữ Liệu, Biến Số, và Chiến Lược Thực Nghiệm</w:t>
      </w:r>
    </w:p>
    <w:bookmarkStart w:id="32" w:name="cấu-trúc-dữ-liệu"/>
    <w:p>
      <w:pPr>
        <w:pStyle w:val="Heading3"/>
      </w:pPr>
      <w:r>
        <w:t xml:space="preserve">3.1 Cấu trúc dữ liệu</w:t>
      </w:r>
    </w:p>
    <w:p>
      <w:pPr>
        <w:pStyle w:val="FirstParagraph"/>
      </w:pPr>
      <w:r>
        <w:t xml:space="preserve">Phân tích thực nghiệm sử dụng bằng chứng cấp doanh nghiệp được hài hòa hóa cho Việt Nam qua ba đợt của Khảo sát Doanh nghiệp Ngân hàng Thế giới: 2009, 2015 và 2023 (Ngân hàng Thế giới, 2010, 2016, 2024). Ước lượng các mô hình riêng biệt theo đợt giúp quan sát liệu các mối quan hệ có ổn định hay mang tính thời gian cụ thể, trong khi ước lượng gộp xác định các hiệu ứng trung bình qua giai đoạn rộng hơn.</w:t>
      </w:r>
    </w:p>
    <w:p>
      <w:pPr>
        <w:pStyle w:val="BodyText"/>
      </w:pPr>
      <w:r>
        <w:t xml:space="preserve">Mẫu ước lượng hiệu quả thay đổi qua các đặc tả mô hình do các giá trị thiếu trong các biến năng lực. Trong các mô hình đầy đủ theo từng đợt, các mẫu có thể sử dụng là 989 quan sát cho năm 2009, 956 cho năm 2015, và 1.013 cho năm 2023. Mô hình đầy đủ gộp chứa 2.958 quan sát.</w:t>
      </w:r>
    </w:p>
    <w:bookmarkEnd w:id="32"/>
    <w:bookmarkStart w:id="33" w:name="biến-số"/>
    <w:p>
      <w:pPr>
        <w:pStyle w:val="Heading3"/>
      </w:pPr>
      <w:r>
        <w:t xml:space="preserve">3.2 Biến số</w:t>
      </w:r>
    </w:p>
    <w:p>
      <w:pPr>
        <w:pStyle w:val="FirstParagraph"/>
      </w:pPr>
      <w:r>
        <w:t xml:space="preserve">Hiệu quả doanh nghiệp được đo bằng log năng suất lao động (lnLP). Quốc tế hóa được đo bằng cường độ xuất khẩu trực tiếp (FSTS), được căn giữa theo đợt (FSTS_c) và bình phương (FSTS_c²) để các số hạng tuyến tính và bậc hai có thể được nhập vào cùng nhau để kiểm định tính phi tuyến.</w:t>
      </w:r>
    </w:p>
    <w:p>
      <w:pPr>
        <w:pStyle w:val="BodyText"/>
      </w:pPr>
      <w:r>
        <w:t xml:space="preserve">Phân tích sử dụng hai cấu trúc năng lực riêng biệt. Năng lực công nghệ (Technological Capability Index — TCI_z) được giải thích một cách hẹp như một thước đo năng lực công nghệ nước ngoài và tiêu chuẩn — chứng nhận chất lượng quốc tế và công nghệ cấp phép nước ngoài — đại diện cho sự tiếp xúc của doanh nghiệp với các tiêu chuẩn công nghệ bên ngoài hơn là toàn bộ kho năng lực hấp thụ Cohen-Levinthal (Lall, 1992; Cohen và Levinthal, 1990). Năng lực số (Digital Adoption Index — DAI_z) được giải thích hẹp như sự hiện diện số dựa trên website — áp dụng website nền tảng — và không phải là thước đo tích hợp số ở cấp độ giao dịch hoặc chuyển đổi số (Bharadwaj và cộng sự, 2013; Verhoef và cộng sự, 2021; Nambisan và cộng sự, 2019).</w:t>
      </w:r>
    </w:p>
    <w:p>
      <w:pPr>
        <w:pStyle w:val="BodyText"/>
      </w:pPr>
      <w:r>
        <w:t xml:space="preserve">Cấu trúc mục cụ thể như sau. Kết quả là lnLP = ln(d2 / l1), trong đó d2 là tổng doanh thu hàng năm và l1 là nhân viên toàn thời gian thường xuyên. Quốc tế hóa là FSTS = d3c / 100, được căn giữa theo đợt (FSTS_c) và bình phương (FSTS_c²). TCI_z chính là trung bình chuẩn hóa trong đợt của b8 (chứng nhận chất lượng được quốc tế công nhận) và e6 (công nghệ cấp phép nước ngoài), mỗi mục được mã lại từ dạng nhị phân WBES 1/2 sang 1/0. DAI_z chính là chỉ số hiện diện website c22b chuẩn hóa trong đợt, được mã lại từ 1/2 sang 1/0.</w:t>
      </w:r>
    </w:p>
    <w:p>
      <w:pPr>
        <w:pStyle w:val="BodyText"/>
      </w:pPr>
      <w:r>
        <w:t xml:space="preserve">Hai cấu trúc mở rộng được sử dụng trong bảng kiểm định vững 4.5 khi có sẵn mục. TCI_full thêm h1 (sản phẩm mới hoặc cải tiến đáng kể được giới thiệu) và h8 (chỉ số chi tiêu R&amp;D) vào các mục TCI trong năm 2015 và 2023. DAI_rich, được xây dựng chỉ cho năm 2023, mở rộng chỉ số hiện diện website với k33 (tỷ lệ doanh thu nhận qua thanh toán điện tử) và k38 (tỷ lệ thanh toán cho nhà cung cấp qua thanh toán điện tử).</w:t>
      </w:r>
    </w:p>
    <w:p>
      <w:pPr>
        <w:pStyle w:val="BodyText"/>
      </w:pPr>
      <w:r>
        <w:t xml:space="preserve">Các biến kiểm soát là tiêu chuẩn. Quy mô doanh nghiệp lnEmp = ln(l1). Tuổi doanh nghiệp FirmAge = năm khảo sát trừ b5 (năm thành lập). Sở hữu nước ngoài ForeignOwned = 1 nếu b2b (phần trăm vốn chủ sở hữu thuộc sở hữu của cá nhân hoặc công ty nước ngoài tư nhân) &gt; 0. Hiệu ứng cố định ngành sử dụng chữ số đầu tiên của a4b (mã ISIC rộng) cho các đợt 2009 và 2015, và chữ số đầu tiên của a4a cho đợt 2023.</w:t>
      </w:r>
    </w:p>
    <w:bookmarkEnd w:id="33"/>
    <w:bookmarkStart w:id="34" w:name="chuỗi-mô-hình"/>
    <w:p>
      <w:pPr>
        <w:pStyle w:val="Heading3"/>
      </w:pPr>
      <w:r>
        <w:t xml:space="preserve">3.3 Chuỗi mô hình</w:t>
      </w:r>
    </w:p>
    <w:p>
      <w:pPr>
        <w:pStyle w:val="FirstParagraph"/>
      </w:pPr>
      <w:r>
        <w:t xml:space="preserve">Chiến lược thực nghiệm theo một chuỗi mô hình lồng nhau, tất cả được ước lượng bằng OLS với sai số chuẩn vững HC1. Mô hình kiểm soát thiết lập đường cơ sở. Một mô hình quốc tế hóa tuyến tính sau đó giới thiệu FSTS_c. Mô hình phi tuyến thêm số hạng bậc hai FSTS_c² để kiểm định độ cong. Các mô hình bổ sung giới thiệu TCI_z và DAI_z riêng biệt, trước tiên trong các đặc tả cho phép số hạng tương tác (interaction term) với FSTS_c và FSTS_c², và sau đó trong các đặc tả hiệu ứng trực tiếp. Mô hình đầy đủ cuối cùng bao gồm các số hạng quốc tế hóa phi tuyến, cả hai thước đo năng lực trực tiếp, và các số hạng tương tác liên quan đến áp dụng số.</w:t>
      </w:r>
    </w:p>
    <w:bookmarkEnd w:id="34"/>
    <w:bookmarkStart w:id="35" w:name="sao-chép-và-tái-tạo"/>
    <w:p>
      <w:pPr>
        <w:pStyle w:val="Heading3"/>
      </w:pPr>
      <w:r>
        <w:t xml:space="preserve">3.4 Sao chép và tái tạo</w:t>
      </w:r>
    </w:p>
    <w:p>
      <w:pPr>
        <w:pStyle w:val="FirstParagraph"/>
      </w:pPr>
      <w:r>
        <w:t xml:space="preserve">Toàn bộ quy trình được thực hiện như một bản thiết kế Stata 10 bước phân phối cùng bản thảo. Các bước xây dựng (01–04) làm sạch từng đợt WBES, hài hòa hóa tập biến trọng tâm, và ghép ba đợt vào một tệp gộp với căn giữa trong đợt và chuẩn hóa z được áp dụng lại. Các bước ước lượng (05–09) bao gồm chuỗi lồng nhau M0–M8, kiểm tra điểm ngoặt Lind–Mehlum, các thăm dò lựa chọn Heckman thủ công, kiểm định z xuyên đợt Paternoster và cộng sự (1998), và các bảng kiểm định vững mô tả trong 4.5.</w:t>
      </w:r>
    </w:p>
    <w:p>
      <w:r>
        <w:pict>
          <v:rect style="width:0;height:1.5pt" o:hralign="center" o:hrstd="t" o:hr="t"/>
        </w:pict>
      </w:r>
    </w:p>
    <w:bookmarkEnd w:id="35"/>
    <w:bookmarkEnd w:id="36"/>
    <w:bookmarkStart w:id="42" w:name="kết-quả"/>
    <w:p>
      <w:pPr>
        <w:pStyle w:val="Heading2"/>
      </w:pPr>
      <w:r>
        <w:t xml:space="preserve">4. Kết Quả</w:t>
      </w:r>
    </w:p>
    <w:p>
      <w:pPr>
        <w:pStyle w:val="FirstParagraph"/>
      </w:pPr>
      <w:r>
        <w:t xml:space="preserve">Bảng 1 báo cáo thống kê mô tả mẫu phân tích theo đợt. Ba mô hình đáng chú ý trước khi phân tích suy luận. Tỷ lệ doanh nghiệp báo cáo bất kỳ cường độ xuất khẩu trực tiếp dương nào giảm từ 28,4% vào năm 2009 xuống 20,7% vào năm 2015 và 18,8% vào năm 2023, phản ánh sự tái cân bằng của nhóm xuất khẩu Việt Nam ra khỏi sản xuất thâm dụng lao động hướng đến các doanh nghiệp dịch vụ và chuỗi cung ứng liên kết FDI trong cửa sổ quan sát. Trung bình trong đợt của áp dụng số cơ bản (chỉ số website c22b) tăng từ 0,425 vào năm 2009 lên 0,483 vào năm 2015 và 0,498 vào năm 2023, cho thấy sự phổ biến rộng rãi của sự hiện diện số cơ bản trên toàn dân số doanh nghiệp Việt Nam trong cửa sổ 14 năm. Trung bình của log năng suất lao động tăng đơn điệu (19,41 / 20,04 / 20,55), phù hợp với hội tụ năng suất Việt Nam rộng hơn trong giai đoạn.</w:t>
      </w:r>
    </w:p>
    <w:p>
      <w:pPr>
        <w:pStyle w:val="BodyText"/>
      </w:pPr>
      <w:r>
        <w:rPr>
          <w:bCs/>
          <w:b/>
        </w:rPr>
        <w:t xml:space="preserve">Bảng 1: Thống kê mô tả mẫu phân tích theo đợt.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nhân viên)</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(Độ lệch chuẩn) được báo cáo. TCI_z và DAI_z là các cấu trúc tổng hợp hình thức chuẩn hóa z. FSTS = tỷ lệ doanh thu nước ngoài trên tổng doanh thu. Cỡ mẫu: 2009 N=989; 2015 N=956; 2023 N=1.013; gộp N=2.958. Hiệu ứng cố định ngành ISIC sử dụng a4b 1 chữ số (2009, 2015) hoặc a4a 1 chữ số (2023); gộp thêm hiệu ứng cố định đợt. Xóa listwise được áp dụng trên tập biến trọng tâm với mã phản hồi không rõ WBES (−9) được xử lý là thiếu. Nguồn: Khảo sát Doanh nghiệp Ngân hàng Thế giới (Việt Nam 2009, 2015, 2023), www.enterprisesurveys.org; tính toán của tác giả.</w:t>
      </w:r>
    </w:p>
    <w:bookmarkStart w:id="37" w:name="kết-quả-theo-từng-đợt"/>
    <w:p>
      <w:pPr>
        <w:pStyle w:val="Heading3"/>
      </w:pPr>
      <w:r>
        <w:t xml:space="preserve">4.1 Kết quả theo từng đợt</w:t>
      </w:r>
    </w:p>
    <w:p>
      <w:pPr>
        <w:pStyle w:val="FirstParagraph"/>
      </w:pPr>
      <w:r>
        <w:t xml:space="preserve">Đợt 2009 thể hiện một mối quan hệ quốc tế hóa–hiệu quả phi tuyến rõ ràng cùng với các hiệu ứng năng lực trực tiếp và áp dụng số mạnh. Đặc tả hình chữ U ngược (M2) cho ra số hạng tuyến tính dương (β = 1,045, p = 0,015) và số hạng bậc hai âm (β = -1,774, p = 0,009); kiểm định Lind–Mehlum bác bỏ tính đơn điệu tại p = 0,006. Trong đặc tả kép trực tiếp (M7) cả TCI_z (β = 0,215, p &lt; 0,001) và DAI_z (β = 0,175, p &lt; 0,001) đều dương. Điều tiết TCI có thể phân biệt thống kê với không (kiểm định chung M3 p = 0,040; FSTS_c × TCI_z = -0,579, p = 0,087), nhưng điều tiết DAI thì không (kiểm định chung M4 p = 0,825; kiểm định chung M8 đầy đủ p = 0,700). Về mặt thực chất, cả hai chiều năng lực trong năm 2009 vận hành chủ yếu như các công cụ dịch chuyển mức độ trực tiếp; chi phí phối hợp biên uốn cong đường I–P gắn liền với năng lực công nghệ hơn là với sự hiện diện số cơ bản.</w:t>
      </w:r>
    </w:p>
    <w:p>
      <w:pPr>
        <w:pStyle w:val="BodyText"/>
      </w:pPr>
      <w:r>
        <w:t xml:space="preserve">Đợt 2015 thể hiện độ cong rõ ràng nhưng kênh số yếu nhất. M2 cho ra FSTS_c β = 1,159 (p = 0,029) và FSTS_c² β = -2,115 (p = 0,004), với Lind–Mehlum p = 0,009. TCI_z giữ mối liên kết trực tiếp dương (β = 0,128, p = 0,010) nhưng ở khoảng 60% độ lớn năm 2009. DAI_z mất hoàn toàn ý nghĩa trực tiếp (β = -0,044, p = 0,377). Điều tiết TCI là null trong đợt này (kiểm định chung M3 p = 0,713), và điều tiết DAI tốt nhất là biên (kiểm định chung M4 p = 0,125; kiểm định chung M8 p = 0,093).</w:t>
      </w:r>
    </w:p>
    <w:p>
      <w:pPr>
        <w:pStyle w:val="BodyText"/>
      </w:pPr>
      <w:r>
        <w:t xml:space="preserve">Đợt 2023 là nơi tín hiệu điều tiết số nổi lên rõ nhất. M2 lại chỉ ra một hình chữ U ngược rõ ràng (FSTS_c β = 0,962, p = 0,039; FSTS_c² β = -1,686, p = 0,008; Lind–Mehlum p = 0,013). Trong M7 kép trực tiếp, cả hai chiều năng lực đều dương và có ý nghĩa (TCI_z β = 0,123, p = 0,006; DAI_z β = 0,095, p = 0,038). Khi các số hạng tương tác DAI được thêm vào trong M8, tương tác tuyến tính âm và có ý nghĩa cá nhân (FSTS_c × DAI_z = -0,912, p = 0,043), tương tác bậc hai dương và biên (FSTS_c² × DAI_z = 1,043, p = 0,099), và kiểm định chung ở mức ý nghĩa biên (kiểm định chung M4 p = 0,102; kiểm định chung M8 p = 0,062).</w:t>
      </w:r>
    </w:p>
    <w:p>
      <w:pPr>
        <w:pStyle w:val="BodyText"/>
      </w:pPr>
      <w:r>
        <w:t xml:space="preserve">Một giải thích bổ sung, phù hợp với kết quả null 2SLS cho DAI được đo bằng công cụ (β=0,018, p=0,942; §4.5 Bảng K), là sự lỗi thời đại diện: đến năm 2023, sự hiện diện website (Tầng 1, c22b) đã trở thành thông tin tín nhiệm ngưỡng tối thiểu hơn là tín hiệu phân biệt năng lực trong môi trường số đang trưởng thành của Việt Nam.</w:t>
      </w:r>
    </w:p>
    <w:p>
      <w:pPr>
        <w:pStyle w:val="BodyText"/>
      </w:pPr>
      <w:r>
        <w:t xml:space="preserve">Nhìn chung, các kết quả theo từng đợt theo dõi hai mối liên kết theo đợt phù hợp với phụ thuộc giai đoạn. Năng lực công nghệ nước ngoài/tiêu chuẩn dương qua tất cả ba đợt với độ lớn suy giảm nhẹ (TCI_z = 0,215 → 0,128 → 0,123) nhưng với điều tiết tồn tại trong các bảng 2009, 2023 và gộp. Sự hiện diện số dựa trên website theo quỹ đạo không đơn điệu — mạnh vào năm 2009 (β = 0,175 **</w:t>
      </w:r>
      <w:r>
        <w:rPr>
          <w:iCs/>
          <w:i/>
        </w:rPr>
        <w:t xml:space="preserve">), null vào năm 2015 (β = -0,044 n.s.), và tái xuất hiện vào năm 2023 (β = 0,095</w:t>
      </w:r>
      <w:r>
        <w:rPr>
          <w:iCs/>
          <w:i/>
        </w:rPr>
        <w:t xml:space="preserve"> </w:t>
      </w:r>
      <w:r>
        <w:t xml:space="preserve">) — và kênh điều tiết của nó chỉ xuất hiện vào năm 2023.</w:t>
      </w:r>
    </w:p>
    <w:bookmarkEnd w:id="37"/>
    <w:bookmarkStart w:id="38" w:name="kết-quả-gộp"/>
    <w:p>
      <w:pPr>
        <w:pStyle w:val="Heading3"/>
      </w:pPr>
      <w:r>
        <w:t xml:space="preserve">4.2 Kết quả gộp</w:t>
      </w:r>
    </w:p>
    <w:p>
      <w:pPr>
        <w:pStyle w:val="FirstParagraph"/>
      </w:pPr>
      <w:r>
        <w:t xml:space="preserve">Các ước lượng gộp xác nhận rằng mối quan hệ quốc tế hóa–hiệu quả phi tuyến trung bình. Trong đặc tả gộp M2, số hạng FSTS_c tuyến tính dương (β = 0,984, p &lt; 0,001) và số hạng bậc hai FSTS_c² âm (β = -1,909, p &lt; 0,001); kiểm định Lind–Mehlum bác bỏ tính đơn điệu tại p &lt; 0,001 với điểm ngoặt ước lượng tại 39,7% cường độ xuất khẩu trực tiếp.</w:t>
      </w:r>
    </w:p>
    <w:p>
      <w:pPr>
        <w:pStyle w:val="BodyText"/>
      </w:pPr>
      <w:r>
        <w:t xml:space="preserve">Bằng chứng gộp chỉ ra rằng cả năng lực công nghệ và áp dụng số cơ bản đều gắn kết tích cực với hiệu quả doanh nghiệp trung bình. Trong đặc tả M7 kép trực tiếp gộp, TCI_z dương (β = 0,179, p &lt; 0,001), và DAI_z dương và có ý nghĩa (β = 0,078, p = 0,004).</w:t>
      </w:r>
    </w:p>
    <w:p>
      <w:pPr>
        <w:pStyle w:val="BodyText"/>
      </w:pPr>
      <w:r>
        <w:t xml:space="preserve">Các số hạng tương tác gộp liên quan đến DAI_z mang tín hiệu chung biên. Tương tác tuyến tính âm nhưng không có ý nghĩa cá nhân (FSTS_c × DAI_z = -0,448, p = 0,116), và tương tác bậc hai dương nhưng không có ý nghĩa (FSTS_c² × DAI_z = 0,460, p = 0,276). Kiểm định Wald chung ở mức ý nghĩa biên (kiểm định chung M8 p = 0,083).</w:t>
      </w:r>
    </w:p>
    <w:p>
      <w:pPr>
        <w:pStyle w:val="BodyText"/>
      </w:pPr>
      <w:r>
        <w:t xml:space="preserve">Điều tiết năng lực công nghệ, ngược lại, phân phối đồng đều hơn. Kiểm định chung M3 trên FSTS_c × TCI_z và FSTS_c² × TCI_z có thể phân biệt thống kê với không trong ba trong bốn bảng (2009 p = 0,040, 2023 p = 0,027, gộp p = 0,003) và null chỉ trong năm 2015 (p = 0,713). Gộp, tương tác tuyến tính âm (FSTS_c × TCI_z = -0,587, p = 0,003) và bậc hai dương (FSTS_c² × TCI_z = 0,640, p = 0,031), cho thấy hình chữ U ngược phẳng ra cho các doanh nghiệp năng lực cao hơn là dịch chuyển về mức độ.</w:t>
      </w:r>
    </w:p>
    <w:bookmarkEnd w:id="38"/>
    <w:bookmarkStart w:id="39" w:name="giải-thích-các-kiểm-định-giả-thuyết"/>
    <w:p>
      <w:pPr>
        <w:pStyle w:val="Heading3"/>
      </w:pPr>
      <w:r>
        <w:t xml:space="preserve">4.3 Giải thích các kiểm định giả thuyết</w:t>
      </w:r>
    </w:p>
    <w:p>
      <w:pPr>
        <w:pStyle w:val="FirstParagraph"/>
      </w:pPr>
      <w:r>
        <w:t xml:space="preserve">H1 nhận được hỗ trợ có điều kiện. Kiểm định Lind–Mehlum bác bỏ null tính đơn điệu trong cả ba đợt (2009 p = 0,006, 2015 p = 0,009, 2023 p = 0,013) và trong mẫu gộp (p &lt; 0,001), và các điểm ngoặt ngụ ý tập trung chặt chẽ giữa 39,3% (2015) và 46,2% (2009) cường độ xuất khẩu trực tiếp, với ước lượng gộp tại 39,7%.</w:t>
      </w:r>
    </w:p>
    <w:p>
      <w:pPr>
        <w:pStyle w:val="BodyText"/>
      </w:pPr>
      <w:r>
        <w:t xml:space="preserve">H2 được hỗ trợ bởi mối liên kết trực tiếp TCI_z dương trong mẫu gộp (β = 0,179, p &lt; 0,001) và trong tất cả ba giai đoạn theo đợt (2009 p &lt; 0,001; 2015 p = 0,010; 2023 p = 0,006), được củng cố bởi điều tiết TCI có thể phân biệt thống kê trong ba trong bốn bảng.</w:t>
      </w:r>
    </w:p>
    <w:p>
      <w:pPr>
        <w:pStyle w:val="BodyText"/>
      </w:pPr>
      <w:r>
        <w:t xml:space="preserve">H4 nhận được hỗ trợ khám phá hạn chế. Kiểm định chung điều tiết DAI null trong năm 2009 (M4 p = 0,825), null trong năm 2015 (M4 p = 0,125) và đạt ranh giới ý nghĩa trong năm 2023 với tương tác cá nhân FSTS_c × DAI_z = -0,912 (p = 0,043).</w:t>
      </w:r>
    </w:p>
    <w:p>
      <w:pPr>
        <w:pStyle w:val="BodyText"/>
      </w:pPr>
      <w:r>
        <w:t xml:space="preserve">Theo Haans, Pieters, và He (2016), nghiên cứu phân biệt hai loại điều tiết cho các mối quan hệ I–P phi tuyến. Điều tiết Loại I làm phẳng hoặc làm dốc hơn một sườn của hình chữ U ngược: biến điều tiết dịch chuyển vị trí điểm ngoặt nhưng bảo toàn hình dạng hình chữ U ngược. Điều tiết Loại II lật ngược hình dạng của đường cong. Bằng chứng DAI năm 2023 phù hợp với Loại I: tương tác tuyến tính có ý nghĩa FSTS_c × DAI_z = −0,912 (p = 0,043) chỉ ra rằng áp dụng số làm suy giảm sườn dương ở cường độ xuất khẩu thấp, kéo điểm ngoặt vào trong, trong khi tương tác FSTS² × DAI vẫn không có ý nghĩa.</w:t>
      </w:r>
    </w:p>
    <w:bookmarkEnd w:id="39"/>
    <w:bookmarkStart w:id="40" w:name="X9124c4198b91dc5c3564cefe3fe4c8ad2431d46"/>
    <w:p>
      <w:pPr>
        <w:pStyle w:val="Heading3"/>
      </w:pPr>
      <w:r>
        <w:t xml:space="preserve">4.4 Mô hình thực nghiệm chính: tham gia × cường độ</w:t>
      </w:r>
    </w:p>
    <w:p>
      <w:pPr>
        <w:pStyle w:val="FirstParagraph"/>
      </w:pPr>
      <w:r>
        <w:t xml:space="preserve">Trước khi đọc bảng tiếp theo, nghiên cứu neo người đọc vào cấu trúc hai biên được giới thiệu trong 2.1. Hình chữ U ngược mẫu đầy đủ cung cấp thông tin về mô hình kết hợp tham gia và cường độ, nhưng độ cong của nó được nhận diện chủ yếu qua biên tham gia: chỉ ~1,0% doanh nghiệp gộp nằm trong ±5 điểm phần trăm quanh các điểm ngoặt theo đợt (xem kiểm tra mật độ 4.5), và khối lượng lớn nằm tại FSTS = 0.</w:t>
      </w:r>
    </w:p>
    <w:bookmarkEnd w:id="40"/>
    <w:bookmarkStart w:id="41" w:name="kiểm-định-vững"/>
    <w:p>
      <w:pPr>
        <w:pStyle w:val="Heading3"/>
      </w:pPr>
      <w:r>
        <w:t xml:space="preserve">4.5 Kiểm định vững</w:t>
      </w:r>
    </w:p>
    <w:p>
      <w:pPr>
        <w:pStyle w:val="FirstParagraph"/>
      </w:pPr>
      <w:r>
        <w:t xml:space="preserve">Bốn họ kiểm định vững (robustness check) kiểm tra liệu các suy luận trung tâm có nhạy cảm với các lựa chọn đo lường, thành phần ngành, cấu trúc tham gia xuất khẩu, và nội sinh (endogeneity) hay không.</w:t>
      </w:r>
    </w:p>
    <w:p>
      <w:pPr>
        <w:pStyle w:val="BodyText"/>
      </w:pPr>
      <w:r>
        <w:rPr>
          <w:bCs/>
          <w:b/>
        </w:rPr>
        <w:t xml:space="preserve">Bảng G — Phân tách ngành (sản xuất so với không sản xuất).</w:t>
      </w:r>
      <w:r>
        <w:t xml:space="preserve"> </w:t>
      </w:r>
      <w:r>
        <w:t xml:space="preserve">Hình chữ U ngược được bảo toàn trong cả hai tập con nhưng sắc nét hơn trong sản xuất (FSTS_c β = 0,971, p = 0,001; FSTS_c² β = -1,883, p &lt; 0,001) so với không sản xuất (FSTS_c β = 1,615, p = 0,064, biên; FSTS_c² β = -2,479, p = 0,046). Quan trọng hơn, các kênh năng lực và áp dụng số vận hành chủ yếu trong sản xuất.</w:t>
      </w:r>
    </w:p>
    <w:p>
      <w:pPr>
        <w:pStyle w:val="BodyText"/>
      </w:pPr>
      <w:r>
        <w:rPr>
          <w:bCs/>
          <w:b/>
        </w:rPr>
        <w:t xml:space="preserve">Bảng H — Mẫu con chỉ gồm nhà xuất khẩu (FSTS &gt; 0).</w:t>
      </w:r>
      <w:r>
        <w:t xml:space="preserve"> </w:t>
      </w:r>
      <w:r>
        <w:t xml:space="preserve">Vì tỷ lệ nhà xuất khẩu là 28,4%, 20,7% và 18,8% qua các đợt, hình chữ U ngược ước lượng trên mẫu đầy đủ được nhận diện một phần bởi biên tham gia giữa FSTS = 0 và FSTS &gt; 0. Đặc tả gộp chỉ gồm nhà xuất khẩu cho ra số hạng FSTS_c tuyến tính âm (β = -0,861, p &lt; 0,001) nhưng số hạng bậc hai không có ý nghĩa (FSTS_c² β = -0,200, p = 0,660).</w:t>
      </w:r>
    </w:p>
    <w:p>
      <w:pPr>
        <w:pStyle w:val="BodyText"/>
      </w:pPr>
      <w:r>
        <w:rPr>
          <w:bCs/>
          <w:b/>
        </w:rPr>
        <w:t xml:space="preserve">Bảng I — Kiểm định tương tác đợt × tiêu điểm gộp.</w:t>
      </w:r>
      <w:r>
        <w:t xml:space="preserve"> </w:t>
      </w:r>
      <w:r>
        <w:t xml:space="preserve">Để kiểm định chính thức liệu các mô hình theo đợt của độ cong và điều tiết có thể phân biệt thống kê với các ước lượng gộp, nghiên cứu ước lượng lại M8 gộp với bộ bão hòa các tương tác đợt trên các số hạng tiêu điểm. Chỉ DAI_z × đợt có thể phân biệt thống kê với trung bình gộp (chung p = 0,016).</w:t>
      </w:r>
    </w:p>
    <w:p>
      <w:pPr>
        <w:pStyle w:val="BodyText"/>
      </w:pPr>
      <w:r>
        <w:rPr>
          <w:bCs/>
          <w:b/>
        </w:rPr>
        <w:t xml:space="preserve">Kiểm tra mật độ quanh điểm ngoặt.</w:t>
      </w:r>
      <w:r>
        <w:t xml:space="preserve"> </w:t>
      </w:r>
      <w:r>
        <w:t xml:space="preserve">Định nghĩa dải ±5 điểm phần trăm quanh điểm ngoặt theo đợt (TP), tỷ lệ doanh nghiệp có FSTS trong dải là 0,6% (6/989) vào năm 2009, 1,2% (11/956) vào năm 2015, 0,9% (9/1.013) vào năm 2023 và 1,0% (29/2.958) gộp.</w:t>
      </w:r>
    </w:p>
    <w:p>
      <w:pPr>
        <w:pStyle w:val="BodyText"/>
      </w:pPr>
      <w:r>
        <w:rPr>
          <w:bCs/>
          <w:b/>
        </w:rPr>
        <w:t xml:space="preserve">Kiểm định vững về nội sinh và lựa chọn.</w:t>
      </w:r>
      <w:r>
        <w:t xml:space="preserve"> </w:t>
      </w:r>
      <w:r>
        <w:t xml:space="preserve">Ba phương pháp bổ sung giải quyết mối lo ngại lựa chọn và nội sinh. Hiệu chỉnh hai bước Heckman (Bảng E) cho ra các tỷ lệ Mills nghịch đảo không có ý nghĩa qua tất cả các đợt (tất cả |λ| &lt; 0,84, p &gt; 0,25). Ghép điểm xu hướng (Bảng J) xác nhận mối liên kết TCI trung bình H2 và mối liên kết mức DAI_z nền tảng: ước lượng ATT cho trạng thái chứng nhận/công nghệ nước ngoài (0,609–0,637, p &lt; 0,001) và quyền sở hữu website (0,298–0,321, p &lt; 0,001) nhất quán về mặt thực chất với kết quả OLS.</w:t>
      </w:r>
    </w:p>
    <w:p>
      <w:pPr>
        <w:pStyle w:val="BodyText"/>
      </w:pPr>
      <w:r>
        <w:t xml:space="preserve">Ước lượng bình phương nhỏ nhất hai giai đoạn sử dụng tỷ lệ chấp nhận đồng nghiệp bỏ-một-ra trong ngành × vùng × đợt làm công cụ (Bảng K; thống kê F giai đoạn đầu 22–35, vượt xa ngưỡng Staiger–Stock) trả về ước lượng DAI được đo bằng công cụ là 0,018 (p = 0,942) và ước lượng TCI được đo bằng công cụ là 1,639 (p &lt; 0,001). Hệ số DAI null 2SLS là kết quả kiểm định vững chính: nó xác nhận rằng sự hiện diện website không hợp lý gây ra cải thiện năng suất trong Việt Nam năm 2023, củng cố giải thích lỗi thời đại diện Tầng 1.</w:t>
      </w:r>
    </w:p>
    <w:p>
      <w:r>
        <w:pict>
          <v:rect style="width:0;height:1.5pt" o:hralign="center" o:hrstd="t" o:hr="t"/>
        </w:pict>
      </w:r>
    </w:p>
    <w:p>
      <w:pPr>
        <w:pStyle w:val="FirstParagraph"/>
      </w:pPr>
      <w:r>
        <w:rPr>
          <w:bCs/>
          <w:b/>
        </w:rPr>
        <w:t xml:space="preserve">Bảng 4: Điểm ngoặt ngụ ý của hình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ngoặt (FSTS)</w:t>
            </w:r>
          </w:p>
        </w:tc>
        <w:tc>
          <w:tcPr/>
          <w:p>
            <w:pPr>
              <w:pStyle w:val="Compact"/>
              <w:jc w:val="left"/>
            </w:pPr>
            <w:r>
              <w:t xml:space="preserve">KTC 95%</w:t>
            </w:r>
          </w:p>
        </w:tc>
        <w:tc>
          <w:tcPr/>
          <w:p>
            <w:pPr>
              <w:pStyle w:val="Compact"/>
              <w:jc w:val="left"/>
            </w:pPr>
            <w:r>
              <w:t xml:space="preserve">Lind-Mehlum p</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ngoặt ước lượng từ M2 (đặc tả FSTS bậc hai). Giá trị p kiểm định Lind-Mehlum (2010) cho hình chữ U ngược. KTC 95% tính bằng phương pháp delta. Tất cả bốn mẫu xác nhận hình chữ U ngược với điểm ngoặt trong khoảng 39–46% FSTS.</w:t>
      </w:r>
    </w:p>
    <w:p>
      <w:r>
        <w:pict>
          <v:rect style="width:0;height:1.5pt" o:hralign="center" o:hrstd="t" o:hr="t"/>
        </w:pict>
      </w:r>
    </w:p>
    <w:bookmarkEnd w:id="41"/>
    <w:bookmarkEnd w:id="42"/>
    <w:bookmarkStart w:id="48" w:name="thảo-luận"/>
    <w:p>
      <w:pPr>
        <w:pStyle w:val="Heading2"/>
      </w:pPr>
      <w:r>
        <w:t xml:space="preserve">5. Thảo Luận</w:t>
      </w:r>
    </w:p>
    <w:p>
      <w:pPr>
        <w:pStyle w:val="FirstParagraph"/>
      </w:pPr>
      <w:r>
        <w:t xml:space="preserve">Các kết quả trước tiên cần được đặt trong bối cảnh đường cơ sở phân tích tổng hợp. Wu, Fan, và Chen (2022, MIR) thiết lập một mối quan hệ I–P trung bình dương cho các công ty đa quốc gia thị trường mới nổi — một điểm neo cấp vĩ mô hữu ích, nhưng tổng hợp qua các bối cảnh thể chế trong đó hình dạng chức năng có thể thay đổi đáng kể. Việt Nam — như một nền kinh tế chuyển đổi độc đảng với sự tiếp nhận cơ sở hạ tầng số nhanh chóng nhưng không đồng đều — cung cấp một bài kiểm định quan trọng về việc liệu ước lượng cấp meta gộp có che khuất tính phi tuyến hình dạng chức năng ở cấp độ trong nước hay không.</w:t>
      </w:r>
    </w:p>
    <w:bookmarkStart w:id="43" w:name="X37a0b17296061d37983af677e6a659d6cf923f0"/>
    <w:p>
      <w:pPr>
        <w:pStyle w:val="Heading3"/>
      </w:pPr>
      <w:r>
        <w:t xml:space="preserve">5.1 Tái giải thích chỉ số hiện diện website nền tảng tại Việt Nam</w:t>
      </w:r>
    </w:p>
    <w:p>
      <w:pPr>
        <w:pStyle w:val="FirstParagraph"/>
      </w:pPr>
      <w:r>
        <w:t xml:space="preserve">Hàm ý trung tâm của các phát hiện DAI_z mô tả là sự hiện diện website nền tảng tại Việt Nam không nên được giải thích là lợi nhuận năng suất phổ quát và ổn định về mặt thời gian, cũng không phải là bằng chứng về năng lực số động. Mặc dù cả TCI_z và DAI_z đều dương trung bình trong các đặc tả gộp, các vai trò thực nghiệm của chúng khác nhau đáng kể qua các đợt và qua các chiến lược nhận diện.</w:t>
      </w:r>
    </w:p>
    <w:p>
      <w:pPr>
        <w:pStyle w:val="BodyText"/>
      </w:pPr>
      <w:r>
        <w:t xml:space="preserve">Dấu âm trên tương tác FSTS_c × DAI_z vào năm 2023 — nơi tính liên quan năng suất DAI suy giảm ở cường độ xuất khẩu cao hơn — phù hợp với ranh giới Tầng 1 của cấu trúc: một website một mình không thể quản lý mật độ giao dịch của các hoạt động xuất khẩu cường độ cao mà không có hỗ trợ thanh toán điện tử và tích hợp quy trình.</w:t>
      </w:r>
    </w:p>
    <w:bookmarkEnd w:id="43"/>
    <w:bookmarkStart w:id="44" w:name="Xfe4145c9f021787be23140da2c044e7f300d3d5"/>
    <w:p>
      <w:pPr>
        <w:pStyle w:val="Heading3"/>
      </w:pPr>
      <w:r>
        <w:t xml:space="preserve">5.2 Tại sao sự phân biệt giữa TCI và DAI nền tảng quan trọng</w:t>
      </w:r>
    </w:p>
    <w:p>
      <w:pPr>
        <w:pStyle w:val="FirstParagraph"/>
      </w:pPr>
      <w:r>
        <w:t xml:space="preserve">Kết quả củng cố trường hợp phương pháp luận để tách biệt năng lực công nghệ nước ngoài/tiêu chuẩn khỏi chỉ số hiện diện website nền tảng và không đánh đồng hai thứ dưới một nhãn</w:t>
      </w:r>
      <w:r>
        <w:t xml:space="preserve"> </w:t>
      </w:r>
      <w:r>
        <w:t xml:space="preserve">“</w:t>
      </w:r>
      <w:r>
        <w:t xml:space="preserve">áp dụng số</w:t>
      </w:r>
      <w:r>
        <w:t xml:space="preserve">”</w:t>
      </w:r>
      <w:r>
        <w:t xml:space="preserve"> </w:t>
      </w:r>
      <w:r>
        <w:t xml:space="preserve">hoặc</w:t>
      </w:r>
      <w:r>
        <w:t xml:space="preserve"> </w:t>
      </w:r>
      <w:r>
        <w:t xml:space="preserve">“</w:t>
      </w:r>
      <w:r>
        <w:t xml:space="preserve">chuyển đổi số</w:t>
      </w:r>
      <w:r>
        <w:t xml:space="preserve">”</w:t>
      </w:r>
      <w:r>
        <w:t xml:space="preserve"> </w:t>
      </w:r>
      <w:r>
        <w:t xml:space="preserve">duy nhất. Bằng chứng PSM và IV trong 4.5 (Bảng J và K) làm cho sự phân biệt sắc nét hơn.</w:t>
      </w:r>
    </w:p>
    <w:p>
      <w:pPr>
        <w:pStyle w:val="BodyText"/>
      </w:pPr>
      <w:r>
        <w:t xml:space="preserve">TCI vững dưới cả ghép và đo bằng công cụ: ước lượng 2SLS của TCI_z là 1,64 (p &lt; 0,001) dưới một công cụ mạnh (F giai đoạn đầu = 22,1), và ATT ghép cho điều trị chứng nhận/công nghệ nước ngoài là 0,61–0,64 (p &lt; 0,001) trên một mẫu ghép khoảng 640 doanh nghiệp. Ngược lại, mối liên kết trực tiếp DAI được phát hiện OLS được tái tạo dưới PSM (ATT ghép = 0,30–0,32, p &lt; 0,001) nhưng suy giảm về null dưới 2SLS (β = 0,02, p = 0,94).</w:t>
      </w:r>
    </w:p>
    <w:p>
      <w:pPr>
        <w:pStyle w:val="BodyText"/>
      </w:pPr>
      <w:r>
        <w:t xml:space="preserve">Phần mở rộng DAI_rich được báo cáo trong Bảng B (Phần 4.5) củng cố thêm giải thích cấu trúc thay vì làm suy yếu nó. Mặc dù DAI_z chính neo trên c22b vào năm 2023 gần với chỉ số nền tảng Tầng 1, phần mở rộng DAI_rich — kết hợp c22b với tỷ lệ thanh toán điện tử (k33, k38) — tạo ra mô hình điều tiết theo cùng hướng (FSTS_c × DAI_rich_cont_z = −0,93; kiểm định chung M8 p = 0,099). Cho dù áp dụng số được đo bằng chỉ số website Tầng 1 mỏng hay bằng các mục giao dịch Tầng 2/3 sâu hơn, mô hình điều tiết trong 2023 đi theo cùng một hướng. Bằng chứng cùng chiều hướng này bảo vệ chống lại cách đọc lỗi thời đại diện khi được xem xét độc lập: ngay cả dưới đo lường phong phú hơn khó bác bỏ hơn là chỉ dấu thông lệ, điều tiết trong 2023 vẫn nhất quán với phát hiện tổng thể.</w:t>
      </w:r>
    </w:p>
    <w:p>
      <w:pPr>
        <w:pStyle w:val="BodyText"/>
      </w:pPr>
      <w:r>
        <w:t xml:space="preserve">Sự khác biệt giữa TCI và DAI quan trọng vì hai cấu trúc không hoạt động giống nhau qua các giai đoạn hoặc dưới các chiến lược nhận diện khác nhau. TCI_z hoạt động như một năng lực công nghệ/tiêu chuẩn nước ngoài vững mà mối liên kết năng suất của nó tồn tại qua cả PSM và 2SLS. DAI_z hoạt động như một chỉ dấu nhạy cảm theo bối cảnh mà mối liên kết năng suất của nó được ghi lại dưới so sánh ghép nhưng không dưới biến thiên công cụ ngoại sinh. Điều này hỗ trợ một cách tiếp cận thận trọng hơn đối với số hóa trong nghiên cứu kinh doanh quốc tế — phân biệt giữa kích hoạt số cơ bản (dễ bị ô nhiễm bởi lựa chọn trên các biến quan sát) và độ sâu công nghệ rộng hơn (vững nhận diện hơn) thay vì gộp chúng vào một nhãn</w:t>
      </w:r>
      <w:r>
        <w:t xml:space="preserve"> </w:t>
      </w:r>
      <w:r>
        <w:t xml:space="preserve">“</w:t>
      </w:r>
      <w:r>
        <w:t xml:space="preserve">chuyển đổi số</w:t>
      </w:r>
      <w:r>
        <w:t xml:space="preserve">”</w:t>
      </w:r>
      <w:r>
        <w:t xml:space="preserve"> </w:t>
      </w:r>
      <w:r>
        <w:t xml:space="preserve">duy nhất.</w:t>
      </w:r>
    </w:p>
    <w:bookmarkEnd w:id="44"/>
    <w:bookmarkStart w:id="45" w:name="ý-nghĩa-của-sự-giảm-sút-năm-2015"/>
    <w:p>
      <w:pPr>
        <w:pStyle w:val="Heading3"/>
      </w:pPr>
      <w:r>
        <w:t xml:space="preserve">5.3 Ý nghĩa của sự giảm sút năm 2015</w:t>
      </w:r>
    </w:p>
    <w:p>
      <w:pPr>
        <w:pStyle w:val="FirstParagraph"/>
      </w:pPr>
      <w:r>
        <w:t xml:space="preserve">Trước khi viện dẫn câu chuyện vĩ mô cơ sở hạ tầng, điều đáng làm là neo kết quả null năm 2015 trong cơ cấu vi mô của bản thân mẫu. Như được báo cáo trong Bảng 1, tỷ lệ nhà xuất khẩu giảm từ 28,4% vào năm 2009 xuống 20,7% vào năm 2015 — một sự rút lui có chọn lọc để lại nhóm còn lại tập trung không đồng đều trong các hoạt động lắp ráp thâm dụng lao động, phụ thuộc OEM. Đối với một nhà thầu phụ may mặc hoặc điện tử đang chờ đơn hàng từ chủ hàng nước ngoài, một website doanh nghiệp cơ bản hoạt động như một tờ rơi số hơn là một công cụ phối hợp kích hoạt năng suất.</w:t>
      </w:r>
    </w:p>
    <w:p>
      <w:pPr>
        <w:pStyle w:val="BodyText"/>
      </w:pPr>
      <w:r>
        <w:t xml:space="preserve">Cơ chế thành phần nhóm này — không chỉ là khoảng cách vĩ mô cơ sở hạ tầng — giúp giải thích tại sao hệ số DAI dựa trên website nén về null vào năm 2015 ngay cả khi độ cong hình chữ U ngược vẫn có mặt thống kê.</w:t>
      </w:r>
    </w:p>
    <w:p>
      <w:pPr>
        <w:pStyle w:val="BodyText"/>
      </w:pPr>
      <w:r>
        <w:t xml:space="preserve">Một giải thích bổ sung — và ở một mức độ nhất định, bổ sung cho nhau — là lỗi thời đại diện (proxy obsolescence): chỉ số c22b về quyền sở hữu website đo lường những điều khác nhau vào năm 2009, 2015 và 2023 mặc dù văn bản câu hỏi giống hệt nhau qua các đợt. Vào năm 2009, có một website doanh nghiệp là một giao diện thị trường tương đối phân biệt tín hiệu tính hợp pháp số cơ bản trong các giao dịch quốc tế; đến năm 2023, website gần với chỉ dấu thông lệ của sự hiện diện số cơ bản được chia sẻ qua cả các doanh nghiệp xuất khẩu và không xuất khẩu. Dưới cách đọc này, sự sụt giảm mối liên kết trực tiếp DAI qua các đợt một phần phản ánh sự thu hẹp nội dung thông tin của c22b hơn là thay đổi cấu trúc trong lợi nhuận năng suất đối với áp dụng số nền tảng. Lỗi thời đại diện và tính tùy theo giai đoạn không loại trừ lẫn nhau; cả hai có thể đang hoạt động đồng thời, và thiết kế nghiên cứu trong tương lai sử dụng các đợt với các mục Tầng 2–3 phong phú hơn sẽ cần tách hai kênh này ra.</w:t>
      </w:r>
    </w:p>
    <w:p>
      <w:pPr>
        <w:pStyle w:val="BodyText"/>
      </w:pPr>
      <w:r>
        <w:t xml:space="preserve">Bối cảnh vĩ mô của giai đoạn này phù hợp với một đáy cơ sở hạ tầng số vào năm 2015 so với các điểm neo 2009 và 2023. Các chỉ số thứ cấp công cộng hỗ trợ cách đọc này: Chỉ số Phát triển Thế giới của Ngân hàng Thế giới (WDI) ghi nhận tỷ lệ cá nhân sử dụng Internet của Việt Nam ở mức khoảng 26% vào năm 2009, 45% vào năm 2015 và trên 78% vào năm 2023; đăng ký băng rộng cố định mỗi 100 người của ITU tăng từ khoảng 3 vào năm 2009 lên 8 vào năm 2015 và trên 20 vào năm 2023. Chương trình Chuyển đổi Số Quốc gia (NDTP) của Việt Nam được ban hành vào năm 2020, và các nền tảng thanh toán điện tử xuyên biên giới (VNPAY, MoMo, ZaloPay) cùng các sàn giao dịch xuất khẩu B2B (Alibaba.com, Amazon Global Selling) chỉ đạt quy mô ở Việt Nam sau năm 2018–2019. Do đó, đợt 2015 quan sát các nhà xuất khẩu Việt Nam trong giai đoạn cơ sở hạ tầng chuyển đổi trong đó website chưa thể kết nối vào hệ sinh thái số hỗ trợ giao dịch; đợt 2023 quan sát họ sau khi cơ sở hạ tầng sau NDTP đã trưởng thành. Các chỉ số vĩ mô này không được đưa vào hồi quy — chúng không phải là biến thiên nhận diện — nhưng chúng làm cho cách đọc theo đợt có tính khả thi về mặt thể chế hơn là thuần túy hậu kỳ.</w:t>
      </w:r>
    </w:p>
    <w:p>
      <w:pPr>
        <w:pStyle w:val="BodyText"/>
      </w:pPr>
      <w:r>
        <w:t xml:space="preserve">Thay vì xem đợt 2015 như một sự bất thường, cách hữu ích hơn là diễn giải nó như bằng chứng về tính không đồng nhất theo đợt phù hợp với tính tùy theo giai đoạn (stage contingency). Sự giảm sút chứng minh lý do tại sao các trung bình gộp một mình là không đủ: không có phân tích theo đợt, người ta sẽ bỏ lỡ khả năng rằng lợi nhuận năng lực nén hoặc mờ dần tạm thời trước khi tái xuất hiện trong giai đoạn sau, ngay cả khi các tham số độ cong của mối quan hệ I–P vẫn không thể phân biệt về mặt thống kê qua các đợt.</w:t>
      </w:r>
    </w:p>
    <w:bookmarkEnd w:id="45"/>
    <w:bookmarkStart w:id="46" w:name="hàm-ý-quản-lý"/>
    <w:p>
      <w:pPr>
        <w:pStyle w:val="Heading3"/>
      </w:pPr>
      <w:r>
        <w:t xml:space="preserve">5.4 Hàm ý quản lý</w:t>
      </w:r>
    </w:p>
    <w:p>
      <w:pPr>
        <w:pStyle w:val="FirstParagraph"/>
      </w:pPr>
      <w:r>
        <w:t xml:space="preserve">Hàm ý quản lý không phải là các doanh nghiệp nên đầu tư ít hơn vào số hóa. Thay vào đó,</w:t>
      </w:r>
      <w:r>
        <w:t xml:space="preserve"> </w:t>
      </w:r>
      <w:r>
        <w:rPr>
          <w:iCs/>
          <w:i/>
        </w:rPr>
        <w:t xml:space="preserve">thành phần</w:t>
      </w:r>
      <w:r>
        <w:t xml:space="preserve"> </w:t>
      </w:r>
      <w:r>
        <w:t xml:space="preserve">của đầu tư năng lực nên thay đổi theo vị trí của doanh nghiệp so với hai ngưỡng được neo theo kinh nghiệm: rào cản tham gia xuất khẩu (FSTS = 0 → FSTS &gt; 0) và dải điểm ngoặt hình chữ U ngược tại 39–46% FSTS.</w:t>
      </w:r>
    </w:p>
    <w:p>
      <w:pPr>
        <w:pStyle w:val="BodyText"/>
      </w:pPr>
      <w:r>
        <w:rPr>
          <w:iCs/>
          <w:i/>
        </w:rPr>
        <w:t xml:space="preserve">Giai đoạn 1 — Doanh nghiệp tiền xuất khẩu và cường độ thấp (FSTS = 0 hoặc FSTS &lt; ~30%).</w:t>
      </w:r>
      <w:r>
        <w:t xml:space="preserve"> </w:t>
      </w:r>
      <w:r>
        <w:t xml:space="preserve">Hành động liên quan đến năng suất chi phối ở giai đoạn này là vượt qua rào cản tham gia, không phải tối ưu hóa sự hiện diện số per se. Áp dụng website nền tảng và kết nối thanh toán điện tử cơ bản vẫn hữu ích như các tín hiệu uy tín chi phí thấp cho các người mua nước ngoài tiềm năng, nhưng đóng góp năng suất của chúng bị giới hạn bởi trần Tầng 1 của công cụ WBES và bởi sự suy giảm nội dung thông tin c22b do khuếch tán. Chi tiêu vốn cho thiết kế lại website hoặc các mở rộng số-marketing tăng thêm ở giai đoạn này mang lại lợi nhuận năng suất cận biên hạn chế so với đầu tư giải tỏa các rào cản chi phí cố định cho lần tham gia xuất khẩu đầu tiên: thông tin thị trường nước ngoài, chứng nhận chất lượng tiêu chuẩn ISO, và tài chính chi phí gia nhập.</w:t>
      </w:r>
    </w:p>
    <w:p>
      <w:pPr>
        <w:pStyle w:val="BodyText"/>
      </w:pPr>
      <w:r>
        <w:rPr>
          <w:iCs/>
          <w:i/>
        </w:rPr>
        <w:t xml:space="preserve">Giai đoạn 2 — Đang tiến đến dải điểm ngoặt (FSTS ≈ 30–46%).</w:t>
      </w:r>
      <w:r>
        <w:t xml:space="preserve"> </w:t>
      </w:r>
      <w:r>
        <w:t xml:space="preserve">Mối liên kết trực tiếp TCI (β gộp = 0,179, p &lt; 0,001; β được đo bằng công cụ = 1,639) và vai trò làm phẳng độ cong của điều tiết TCI (kiểm định chung M3 p = 0,003 gộp) ngụ ý rằng ma sát năng suất ràng buộc trong dải này là trần phối hợp mà năng lực công nghệ nước ngoài và tiêu chuẩn hiệu quả nhất trong việc giải tỏa. Do đó, chi tiêu vốn nên nghiêng về các đầu tư tăng cường TCI — công nghệ được cấp phép nước ngoài, hệ thống chứng nhận chất lượng chính thức, tích hợp quy trình với các chủ hàng nước ngoài — hơn là các nâng cấp DAI tăng thêm trên lớp Tầng 1. Website cơ bản ở giai đoạn này là một yếu tố vệ sinh (hygiene factor); điều phân biệt kết quả năng suất trong nhóm là liệu doanh nghiệp có hấp thụ được năng lực công nghệ và tiêu chuẩn sâu hơn để hấp thụ chi phí phối hợp ở cường độ xuất khẩu cao hơn hay không.</w:t>
      </w:r>
    </w:p>
    <w:p>
      <w:pPr>
        <w:pStyle w:val="BodyText"/>
      </w:pPr>
      <w:r>
        <w:rPr>
          <w:iCs/>
          <w:i/>
        </w:rPr>
        <w:t xml:space="preserve">Giai đoạn 3 — Vượt qua điểm ngoặt (FSTS &gt; ~46%).</w:t>
      </w:r>
      <w:r>
        <w:t xml:space="preserve"> </w:t>
      </w:r>
      <w:r>
        <w:t xml:space="preserve">Tương tác FSTS × DAI_z âm được quan sát trong năm 2023 (β = −0,912, p = 0,043) phù hợp với ranh giới Tầng 1 của chỉ số website WBES và với sự suy giảm thông tin nội dung c22b khi khuếch tán dân số. Đối với các nhà xuất khẩu cường độ cao, đầu tư cận biên vào cơ sở hạ tầng website Tầng 1 mang lại mối liên kết năng suất cận biên âm; ma sát ràng buộc là sự vắng mặt của tích hợp quy trình, thanh toán, và số hóa chuỗi cung ứng Tầng 2–3 mà công cụ Tầng 1 WBES không thể nắm bắt nhưng phần mở rộng DAI_rich (Bảng B) hỗ trợ như là con đường nâng cấp phù hợp.</w:t>
      </w:r>
    </w:p>
    <w:p>
      <w:pPr>
        <w:pStyle w:val="BodyText"/>
      </w:pPr>
      <w:r>
        <w:t xml:space="preserve">Sự giảm sút DAI năm 2015 cũng có thể đọc qua lăng kính phân bổ vốn này. Nhóm nhà xuất khẩu năm 2015 tập trung không đồng đều trong các hoạt động lắp ráp phụ thuộc OEM nơi website doanh nghiệp hoạt động như tờ rơi số hơn là công cụ phối hợp — bối cảnh mà cơ sở hạ tầng số Tầng 1 không thể thay thế cho các giao diện số do người mua thượng nguồn kiểm soát trung gian dòng giao dịch thực sự. Đối với các nhà quản lý của các doanh nghiệp kiểu OEM, hàm ý là các nâng cấp DAI thuần túy không giải tỏa trần năng suất khi ràng buộc ràng buộc là quản trị số thượng nguồn; đòn bẩy năng lực liên quan đến năng suất trong các nhóm như vậy là nâng cấp hướng đến các kênh neo trên TCI cải thiện vị thế của doanh nghiệp so với các chủ hàng nước ngoài.</w:t>
      </w:r>
    </w:p>
    <w:p>
      <w:pPr>
        <w:pStyle w:val="BodyText"/>
      </w:pPr>
      <w:r>
        <w:t xml:space="preserve">Hai nguyên tắc xuyên cắt nổi lên từ bản đồ phân bổ này. Thứ nhất, các nhà quản lý nên tránh đánh đồng áp dụng số cơ bản với năng lực công nghệ sâu hơn — hai cấu trúc không hoạt động giống nhau qua các giai đoạn hoặc dưới ước lượng vững nhận diện, và chi tiêu số Tầng 1 không thay thế cho các đầu tư công nghệ nước ngoài, tiêu chuẩn và tích hợp quy trình mà kênh TCI phản ánh. Thứ hai, các quyết định phân bổ nên được phân giai đoạn theo các ngưỡng được neo theo kinh nghiệm hơn là theo các quy định chuyển đổi số chung: đầu tư vào sự hiện diện Tầng 1 tăng thêm ở cường độ xuất khẩu cao có thể hấp thụ vốn khan hiếm với lợi nhuận năng suất hạn chế, trong khi đầu tư vào năng lực kênh TCI xung quanh dải 39–46% tương ứng với nơi bằng chứng xuyên đợt nhất quán nhất với hiệu ứng tăng cường năng suất.</w:t>
      </w:r>
    </w:p>
    <w:bookmarkEnd w:id="46"/>
    <w:bookmarkStart w:id="47" w:name="hàm-ý-chính-sách"/>
    <w:p>
      <w:pPr>
        <w:pStyle w:val="Heading3"/>
      </w:pPr>
      <w:r>
        <w:t xml:space="preserve">5.5 Hàm ý chính sách</w:t>
      </w:r>
    </w:p>
    <w:p>
      <w:pPr>
        <w:pStyle w:val="FirstParagraph"/>
      </w:pPr>
      <w:r>
        <w:t xml:space="preserve">Nghiên cứu đóng khung bài đọc chính sách như các cân nhắc thận trọng hơn là các quy định chỉ thị. Tính chất liên kết của bằng chứng, phạm vi rộng của tính không đồng nhất theo đợt, và phạm vi một nền kinh tế duy nhất đều không ủng hộ việc chuyển đổi các phát hiện thành các mục tiêu chính sách cứng. Với những lưu ý đó được giữ rõ ràng, ba cân nhắc sau đây phù hợp với thiết kế chính sách thương mại và kinh tế số của Việt Nam.</w:t>
      </w:r>
    </w:p>
    <w:p>
      <w:pPr>
        <w:pStyle w:val="BodyText"/>
      </w:pPr>
      <w:r>
        <w:t xml:space="preserve">Thứ nhất, các công cụ xúc tiến xuất khẩu được thiết kế xung quanh một lợi nhuận quốc tế hóa đồng nhất dương sẽ vượt mức trong các giai đoạn chuyển đổi như đợt 2015, khi lợi nhuận năng lực bị nén ngay cả khi cường độ xuất khẩu vẫn liên quan đến năng suất. Việc nhắm mục tiêu hỗ trợ xuất khẩu vào các doanh nghiệp đang ở vùng chi phí gia nhập, hơn là các doanh nghiệp đã hoạt động ở cường độ xuất khẩu cao, nhất quán với độ cong được ghi lại trong các mẫu gộp và mẫu đợt sau. Thứ hai, các chương trình kinh tế số xem việc áp dụng nền tảng (website, thanh toán điện tử cơ bản) như một đòn bẩy chính sách đủ có khả năng bị suy giảm bởi độ trễ triển khai và tính điều kiện của kênh số ở cường độ xuất khẩu cao hơn. Các chương trình kết hợp áp dụng số Tầng 1–2 với nâng cấp năng lực sâu hơn — chứng nhận chất lượng, đầu tư năng lực hấp thụ, các quy trình tổ chức cho phối hợp xuyên biên giới — sẽ nhất quán hơn với mô hình xuất hiện trong năm 2023.</w:t>
      </w:r>
    </w:p>
    <w:p>
      <w:pPr>
        <w:pStyle w:val="BodyText"/>
      </w:pPr>
      <w:r>
        <w:t xml:space="preserve">Thứ ba, so sánh xuyên đợt — phản ánh các ảnh chụp nhanh cấp nhóm hơn là quỹ đạo trong doanh nghiệp, do thiết kế mặt cắt ngang lặp lại — gợi ý rằng các cửa sổ đánh giá chính sách quan trọng. Một chương trình chuyển đổi số chỉ được đánh giá theo đường cơ sở chuyển đổi kiểu 2015 sẽ đánh giá thấp đóng góp năng suất dài hạn của nó; một chương trình được đánh giá theo đường cơ sở kiểu 2009 hoặc 2023 sẽ đánh giá cao nó so với giai đoạn giữa. Đánh giá chính sách xem xét nghiêm túc các khác biệt cấu trúc theo đợt sẽ kết hợp đo lường kết quả ngắn hạn với đo lường bền vững của môi trường năng lực và cơ sở hạ tầng trong đó các doanh nghiệp hoạt động. Trong bối cảnh Việt Nam, cập nhật</w:t>
      </w:r>
      <w:r>
        <w:t xml:space="preserve"> </w:t>
      </w:r>
      <w:r>
        <w:rPr>
          <w:iCs/>
          <w:i/>
        </w:rPr>
        <w:t xml:space="preserve">Taking Stock</w:t>
      </w:r>
      <w:r>
        <w:t xml:space="preserve"> </w:t>
      </w:r>
      <w:r>
        <w:t xml:space="preserve">của Ngân hàng Thế giới (2025b) xác định việc nuôi dưỡng nhân tài công nghiệp công nghệ cao là một ràng buộc ràng buộc trung gian đầu tư số và năng lực thành lợi nhuận năng suất bền vững — củng cố lập luận rằng đánh giá chính sách trong bối cảnh chuyển đổi phải theo dõi môi trường năng lực, không chỉ tỷ lệ áp dụng.</w:t>
      </w:r>
    </w:p>
    <w:p>
      <w:r>
        <w:pict>
          <v:rect style="width:0;height:1.5pt" o:hralign="center" o:hrstd="t" o:hr="t"/>
        </w:pict>
      </w:r>
    </w:p>
    <w:bookmarkEnd w:id="47"/>
    <w:bookmarkEnd w:id="48"/>
    <w:bookmarkStart w:id="49" w:name="hạn-chế-và-nghiên-cứu-tương-lai"/>
    <w:p>
      <w:pPr>
        <w:pStyle w:val="Heading2"/>
      </w:pPr>
      <w:r>
        <w:t xml:space="preserve">6. Hạn Chế và Nghiên Cứu Tương Lai</w:t>
      </w:r>
    </w:p>
    <w:p>
      <w:pPr>
        <w:pStyle w:val="FirstParagraph"/>
      </w:pPr>
      <w:r>
        <w:t xml:space="preserve">Các phát hiện nên được đọc với sáu hạn chế. Hạn chế quan trọng nhất liên quan đến cấu trúc dữ liệu: dữ liệu vi mô Khảo sát Doanh nghiệp Ngân hàng Thế giới (World Bank Enterprise Survey — WBES) là các mặt cắt ngang lặp lại (repeated cross-sections) hơn là một bảng doanh nghiệp thực sự (true firm panel). Thay đổi trong nội bộ doanh nghiệp theo thời gian không thể được xác định, và tính không đồng nhất không quan sát được bất biến theo thời gian không thể được loại bỏ ở cấp độ doanh nghiệp. Ngôn ngữ liên kết (associational language) được sử dụng xuyên suốt bài viết phản ánh ràng buộc này và không nên được nới lỏng trong bất kỳ diễn giải nào của người đọc về kết quả.</w:t>
      </w:r>
    </w:p>
    <w:p>
      <w:pPr>
        <w:pStyle w:val="BodyText"/>
      </w:pPr>
      <w:r>
        <w:t xml:space="preserve">Thứ hai, Chỉ số Áp dụng Số (Digital Adoption Index — DAI_z) chỉ nắm bắt lớp nền tảng kiểu Tầng 1 (Tier-1-style layer) của việc áp dụng số tập trung vào sự hiện diện website, hơn là năng lực tổ chức được tích hợp số (digitally integrated organisational capability). Phần mở rộng DAI_rich cho đợt 2023 cho thấy mô hình có điều kiện vẫn tồn tại khi các mục đo lường phong phú hơn được sử dụng, tuy nhiên một bảng gồm các doanh nghiệp được tích hợp số với đo lường sâu hơn sẽ tăng cường cấu trúc hơn nữa. Thiết kế như vậy cũng sẽ cho phép kiểm định sắc nét hơn liệu tích hợp số sâu hơn có thể hiện một kênh năng suất ổn định hơn hay không.</w:t>
      </w:r>
    </w:p>
    <w:p>
      <w:pPr>
        <w:pStyle w:val="BodyText"/>
      </w:pPr>
      <w:r>
        <w:t xml:space="preserve">Thứ ba, phân tích được tiến hành trên một nền kinh tế chuyển đổi (transitional economy) duy nhất. Việt Nam mang tính thông tin chính xác vì môi trường thể chế và số của nước này đã thay đổi đáng kể qua cửa sổ quan sát 2009–2023, nhưng mô hình xuyên đợt được ghi lại ở đây có thể không khái quát hóa mà không cần điều chỉnh sang các nền kinh tế có cơ sở hạ tầng số hoặc cơ cấu xuất khẩu theo quỹ đạo khác.</w:t>
      </w:r>
    </w:p>
    <w:p>
      <w:pPr>
        <w:pStyle w:val="BodyText"/>
      </w:pPr>
      <w:r>
        <w:t xml:space="preserve">Thứ tư, bằng chứng xuyên đợt không đồng đều về sức mạnh thống kê. Kiểm định z của Paternoster và cộng sự (1998) xác nhận rằng sự sụt giảm DAI_z giữa 2009 và 2015 (z = 3,353; p &lt; 0,001) và sự phục hồi của nó giữa 2015 và 2023 (z = −2,051; p = 0,040) có thể phân biệt về mặt thống kê, nhưng hầu hết các sai biệt hệ số xuyên đợt khác nằm ở mức biên hoặc không có ý nghĩa thống kê. So sánh xuyên đợt do đó chủ yếu dựa trên tính nhất quán về chiều hướng của các ước lượng theo từng đợt và sự tập trung của tín hiệu số trong đợt 2023, hơn là các sai biệt hệ số cặp đôi có ý nghĩa thống kê nhất quán qua tất cả các số hạng tiêu điểm. Nghiên cứu trong tương lai có thể khai thác thời điểm chính sách — chẳng hạn, Chương trình Chuyển đổi Số Quốc gia của Việt Nam được triển khai năm 2020 — để nhận diện kênh số sắc nét hơn thông qua thiết kế đánh giá chính sách thay vì so sánh xuyên đợt.</w:t>
      </w:r>
    </w:p>
    <w:p>
      <w:pPr>
        <w:pStyle w:val="BodyText"/>
      </w:pPr>
      <w:r>
        <w:t xml:space="preserve">Thứ năm, các hiệu ứng cố định ngành (sector fixed effects) trong các mô hình chính cố ý rộng để giữ đặc tả xuyên đợt có thể so sánh được. Phần 4.5 Bảng G giải quyết một mở rộng tự nhiên bằng cách ước lượng lại các đặc tả M2/M7/M8 gộp trên mẫu con sản xuất (manufacturing; sector1 ∈ {1, 2, 3}; N = 1.854) so với phi sản xuất (non-manufacturing; sector1 ∈ {4, 5, 6, 7}; N = 1.104), và cho thấy kênh áp dụng số hoạt động chủ yếu trong ngành sản xuất trong khi kênh năng lực công nghệ hiện diện ở cả hai nhóm. Các cơ chế cấp ngành tinh tế hơn — ví dụ, đối chiếu các dịch vụ có cường độ số với các dịch vụ truyền thống, hoặc đối chiếu các phân ngành sản xuất định hướng xuất khẩu với định hướng nội địa — sẽ cần thiết kế nghiên cứu khai thác phân loại ngành phong phú hơn mã một chữ số ISIC mà WBES cho phép.</w:t>
      </w:r>
    </w:p>
    <w:p>
      <w:pPr>
        <w:pStyle w:val="BodyText"/>
      </w:pPr>
      <w:r>
        <w:t xml:space="preserve">Thứ sáu, phân tích bị giới hạn ở Việt Nam với tư cách là một nền kinh tế chuyển đổi duy nhất ở một giai đoạn cụ thể trong sự phát triển số và thể chế của nó. Hiểu được mô hình điều tiết DAI được ghi lại ở đây — âm ở cường độ xuất khẩu cao dưới chế độ áp dụng Tầng 1 — so sánh như thế nào với các mô hình ở các thị trường mới nổi khác ở các giai đoạn thể chế khác nhau, hoặc với các mô hình ở các nền kinh tế tiên tiến số nơi tương tác tương tự được dự đoán là dương, đòi hỏi các thiết kế so sánh xuyên bối cảnh (cross-setting comparative designs) phân biệt có hệ thống chi phí giao dịch thể chế và chất lượng cơ sở hạ tầng số. Các thiết kế như vậy cũng sẽ cho phép kiểm định trực tiếp hơn về khung tùy theo bối cảnh (context-contingent framing) được phát triển trong §2.1.</w:t>
      </w:r>
    </w:p>
    <w:p>
      <w:r>
        <w:pict>
          <v:rect style="width:0;height:1.5pt" o:hralign="center" o:hrstd="t" o:hr="t"/>
        </w:pict>
      </w:r>
    </w:p>
    <w:bookmarkEnd w:id="49"/>
    <w:bookmarkStart w:id="50" w:name="kết-luận"/>
    <w:p>
      <w:pPr>
        <w:pStyle w:val="Heading2"/>
      </w:pPr>
      <w:r>
        <w:t xml:space="preserve">7. Kết Luận</w:t>
      </w:r>
    </w:p>
    <w:p>
      <w:pPr>
        <w:pStyle w:val="FirstParagraph"/>
      </w:pPr>
      <w:r>
        <w:t xml:space="preserve">Nghiên cứu này xem xét lại mối quan hệ quốc tế hóa–hiệu quả kinh doanh tại Việt Nam bằng cách xem năng lực công nghệ nước ngoài/tiêu chuẩn là cấu trúc năng lực chính và bằng cách giữ lại chỉ số hiện diện website một mục chỉ như một biến kiểm soát sự hiện diện số nền tảng. Nghiên cứu so sánh bằng chứng gộp với theo đợt qua các đợt WBES 2009/2015/2023 để đánh giá độ bền cấu trúc của ngưỡng I–P và tính vững nhận diện theo đợt của mỗi chiều năng lực.</w:t>
      </w:r>
    </w:p>
    <w:p>
      <w:pPr>
        <w:pStyle w:val="BodyText"/>
      </w:pPr>
      <w:r>
        <w:t xml:space="preserve">Các phát hiện chỉ ra rằng mối quan hệ quốc tế hóa–hiệu quả phi tuyến trong mẫu đầy đủ, rằng mô hình được thúc đẩy chủ yếu bởi một cấu trúc tham gia và cường độ hơn là chỉ bởi độ cong mạnh trong nội bộ nhà xuất khẩu, và — quan trọng — rằng điểm ngoặt hình chữ U ngược bền vững về mặt cấu trúc: khoảng ngưỡng tập trung trong một dải ~7 điểm phần trăm hẹp (39,3–46,2%) qua 14 năm thay đổi thể chế lớn, bao gồm gia nhập WTO, Khủng hoảng Tài chính Toàn cầu, gián đoạn chuỗi cung ứng COVID-19, và sự phổ biến của cơ sở hạ tầng thanh toán số.</w:t>
      </w:r>
    </w:p>
    <w:p>
      <w:pPr>
        <w:pStyle w:val="BodyText"/>
      </w:pPr>
      <w:r>
        <w:t xml:space="preserve">Các kết quả cũng chỉ ra rằng năng lực công nghệ và chỉ số hiện diện website nền tảng không nên được xem là có thể thay thế cho nhau, và rằng việc đánh đồng chúng dưới một nhãn</w:t>
      </w:r>
      <w:r>
        <w:t xml:space="preserve"> </w:t>
      </w:r>
      <w:r>
        <w:t xml:space="preserve">“</w:t>
      </w:r>
      <w:r>
        <w:t xml:space="preserve">áp dụng số</w:t>
      </w:r>
      <w:r>
        <w:t xml:space="preserve">”</w:t>
      </w:r>
      <w:r>
        <w:t xml:space="preserve"> </w:t>
      </w:r>
      <w:r>
        <w:t xml:space="preserve">hoặc</w:t>
      </w:r>
      <w:r>
        <w:t xml:space="preserve"> </w:t>
      </w:r>
      <w:r>
        <w:t xml:space="preserve">“</w:t>
      </w:r>
      <w:r>
        <w:t xml:space="preserve">chuyển đổi số</w:t>
      </w:r>
      <w:r>
        <w:t xml:space="preserve">”</w:t>
      </w:r>
      <w:r>
        <w:t xml:space="preserve"> </w:t>
      </w:r>
      <w:r>
        <w:t xml:space="preserve">duy nhất sẽ che khuất các thuộc tính nhận diện khác nhau của chúng. Năng lực công nghệ tương đối ổn định và vững nhận diện qua các đặc tả. Biến kiểm soát DAI_z nền tảng nhạy cảm theo đợt hơn và suy giảm về null dưới ước lượng biến công cụ, phù hợp với sự lỗi thời đại diện Tầng 1 khi quyền sở hữu website khuếch tán đến mức gần phổ quát trong dân số doanh nghiệp Việt Nam.</w:t>
      </w:r>
    </w:p>
    <w:p>
      <w:r>
        <w:pict>
          <v:rect style="width:0;height:1.5pt" o:hralign="center" o:hrstd="t" o:hr="t"/>
        </w:pict>
      </w:r>
    </w:p>
    <w:bookmarkEnd w:id="50"/>
    <w:bookmarkStart w:id="51" w:name="xung-đột-lợi-ích"/>
    <w:p>
      <w:pPr>
        <w:pStyle w:val="Heading2"/>
      </w:pPr>
      <w:r>
        <w:t xml:space="preserve">Xung Đột Lợi Ích</w:t>
      </w:r>
    </w:p>
    <w:p>
      <w:pPr>
        <w:pStyle w:val="FirstParagraph"/>
      </w:pPr>
      <w:r>
        <w:t xml:space="preserve">Các tác giả tuyên bố không có xung đột lợi ích.</w:t>
      </w:r>
    </w:p>
    <w:bookmarkEnd w:id="51"/>
    <w:bookmarkStart w:id="52"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52"/>
    <w:bookmarkStart w:id="53" w:name="tuyên-bố-về-khả-năng-cung-cấp-dữ-liệu"/>
    <w:p>
      <w:pPr>
        <w:pStyle w:val="Heading2"/>
      </w:pPr>
      <w:r>
        <w:t xml:space="preserve">Tuyên Bố Về Khả Năng Cung Cấp Dữ Liệu</w:t>
      </w:r>
    </w:p>
    <w:p>
      <w:pPr>
        <w:pStyle w:val="FirstParagraph"/>
      </w:pPr>
      <w:r>
        <w:t xml:space="preserve">Dữ liệu hỗ trợ các phát hiện của nghiên cứu này từ Khảo sát Doanh nghiệp Ngân hàng Thế giới và có thể truy cập từ cổng thông tin Khảo sát Doanh nghiệp Ngân hàng Thế giới, tùy thuộc vào đăng ký và tuân thủ Giao thức Tiếp cận Dữ liệu Khảo sát Doanh nghiệp Ngân hàng Thế giới.</w:t>
      </w:r>
    </w:p>
    <w:bookmarkEnd w:id="53"/>
    <w:bookmarkStart w:id="54" w:name="sử-dụng-ai-tạo-sinh-trong-quá-trình-viết"/>
    <w:p>
      <w:pPr>
        <w:pStyle w:val="Heading2"/>
      </w:pPr>
      <w:r>
        <w:t xml:space="preserve">Sử Dụng AI Tạo Sinh Trong Quá Trình Viết</w:t>
      </w:r>
    </w:p>
    <w:p>
      <w:pPr>
        <w:pStyle w:val="FirstParagraph"/>
      </w:pPr>
      <w:r>
        <w:t xml:space="preserve">Các công cụ AI tạo sinh được sử dụng trong quá trình chuẩn bị bản thảo để hỗ trợ chỉnh sửa ngôn ngữ, gợi ý cấu trúc, và lắp ráp tài liệu gói sao chép. Tất cả các khung khái niệm, phát triển giả thuyết, phân tích thực nghiệm, giải thích kết quả, và từ ngữ cuối cùng đều do các tác giả con người viết, những người chịu hoàn toàn trách nhiệm về nội dung của ấn phẩm.</w:t>
      </w:r>
    </w:p>
    <w:bookmarkEnd w:id="54"/>
    <w:bookmarkStart w:id="55" w:name="lời-cảm-ơn"/>
    <w:p>
      <w:pPr>
        <w:pStyle w:val="Heading2"/>
      </w:pPr>
      <w:r>
        <w:t xml:space="preserve">Lời Cảm Ơn</w:t>
      </w:r>
    </w:p>
    <w:p>
      <w:pPr>
        <w:pStyle w:val="FirstParagraph"/>
      </w:pPr>
      <w:r>
        <w:t xml:space="preserve">Tác giả xin cảm ơn Đơn vị Phân tích Doanh nghiệp của Nhóm Chỉ số Kinh tế Phát triển Toàn cầu của Ngân hàng Thế giới về dữ liệu. Người thu thập dữ liệu gốc, nhà phân phối được ủy quyền, và cơ quan tài trợ liên quan không chịu trách nhiệm về việc sử dụng dữ liệu hoặc các diễn giải dựa trên việc sử dụng đó. Các phát hiện, diễn giải và kết luận được thể hiện trong bài viết này là của các tác giả và không nhất thiết đại diện cho quan điểm của Nhóm Ngân hàng Thế giới.</w:t>
      </w:r>
    </w:p>
    <w:p>
      <w:r>
        <w:pict>
          <v:rect style="width:0;height:1.5pt" o:hralign="center" o:hrstd="t" o:hr="t"/>
        </w:pict>
      </w:r>
    </w:p>
    <w:bookmarkEnd w:id="55"/>
    <w:bookmarkStart w:id="56" w:name="tài-liệu-tham-khảo"/>
    <w:p>
      <w:pPr>
        <w:pStyle w:val="Heading2"/>
      </w:pPr>
      <w:r>
        <w:t xml:space="preserve">Tài Liệu Tham Khảo</w:t>
      </w:r>
    </w:p>
    <w:p>
      <w:pPr>
        <w:pStyle w:val="FirstParagraph"/>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p>
    <w:p>
      <w:pPr>
        <w:pStyle w:val="BodyText"/>
      </w:pPr>
      <w:r>
        <w:t xml:space="preserve">Goldfarb, A., &amp; Tucker, C. (2019). Digital economics.</w:t>
      </w:r>
      <w:r>
        <w:t xml:space="preserve"> </w:t>
      </w:r>
      <w:r>
        <w:rPr>
          <w:iCs/>
          <w:i/>
        </w:rPr>
        <w:t xml:space="preserve">Journal of Economic Literature, 57</w:t>
      </w:r>
      <w:r>
        <w:t xml:space="preserve">(1), 3–43. https://doi.org/10.1257/jel.20171452</w:t>
      </w:r>
    </w:p>
    <w:p>
      <w:pPr>
        <w:pStyle w:val="BodyText"/>
      </w:pPr>
      <w:r>
        <w:t xml:space="preserve">Haans, R. F. J., Pieters, C., &amp; He, Z.-L. (2016). Thinking about U: Theorizing and testing U- and inverted-U-shaped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Staiger, D., &amp; Stock, J. H. (1997). Instrumental variables regression with weak instruments.</w:t>
      </w:r>
      <w:r>
        <w:t xml:space="preserve"> </w:t>
      </w:r>
      <w:r>
        <w:rPr>
          <w:iCs/>
          <w:i/>
        </w:rPr>
        <w:t xml:space="preserve">Econometrica, 65</w:t>
      </w:r>
      <w:r>
        <w:t xml:space="preserve">(3), 557–586. https://doi.org/10.2307/2171753</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p>
    <w:p>
      <w:pPr>
        <w:pStyle w:val="BodyText"/>
      </w:pP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2026-05-14T10:33:28Z</dcterms:created>
  <dcterms:modified xsi:type="dcterms:W3CDTF">2026-05-14T10:33:28Z</dcterms:modified>
</cp:coreProperties>
</file>

<file path=docProps/custom.xml><?xml version="1.0" encoding="utf-8"?>
<Properties xmlns="http://schemas.openxmlformats.org/officeDocument/2006/custom-properties" xmlns:vt="http://schemas.openxmlformats.org/officeDocument/2006/docPropsVTypes"/>
</file>