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w:t>
      </w:r>
      <w:r>
        <w:t xml:space="preserve"> </w:t>
      </w:r>
      <w:r>
        <w:t xml:space="preserve">“</w:t>
      </w:r>
      <w:r>
        <w:t xml:space="preserve">chủ yếu tăng đơn điệu với độ cong nhẹ hình parabol</w:t>
      </w:r>
      <w:r>
        <w:t xml:space="preserve">”</w:t>
      </w:r>
      <w:r>
        <w:t xml:space="preserve"> </w:t>
      </w:r>
      <w:r>
        <w:t xml:space="preserve">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giới-thiệu"/>
    <w:p>
      <w:pPr>
        <w:pStyle w:val="Heading2"/>
      </w:pPr>
      <w:r>
        <w:t xml:space="preserve">1 Giới thiệu</w:t>
      </w:r>
    </w:p>
    <w:bookmarkStart w:id="21" w:name="bối-cảnh-và-động-cơ-nghiên-cứu"/>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khoảng-trống-nghiên-cứu"/>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đóng-góp"/>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w:t>
      </w:r>
      <w:r>
        <w:t xml:space="preserve"> </w:t>
      </w:r>
      <w:r>
        <w:t xml:space="preserve">“</w:t>
      </w:r>
      <w:r>
        <w:t xml:space="preserve">chủ yếu tăng đơn điệu với độ cong nhẹ</w:t>
      </w:r>
      <w:r>
        <w:t xml:space="preserve">”</w:t>
      </w:r>
      <w:r>
        <w:t xml:space="preserve"> </w:t>
      </w:r>
      <w:r>
        <w:t xml:space="preserve">hơn là đường cong chữ U ngược được xác định chính thức: điểm ngoặt ước tính nằm gần FSTS = 88,6%,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kết-cấu-bài-báo"/>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4" w:name="lý-thuyết-và-giả-thuyết"/>
    <w:p>
      <w:pPr>
        <w:pStyle w:val="Heading2"/>
      </w:pPr>
      <w:r>
        <w:t xml:space="preserve">2 Lý thuyết và Giả thuyết</w:t>
      </w:r>
    </w:p>
    <w:bookmarkStart w:id="26" w:name="X912e9ffc8b80ffa113077437f5bc14caa0128e5"/>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hai-cấu-trúc-phân-biệt-tci-và-dai"/>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w:t>
      </w:r>
      <w:r>
        <w:t xml:space="preserve"> </w:t>
      </w:r>
      <w:r>
        <w:t xml:space="preserve">“</w:t>
      </w:r>
      <w:r>
        <w:t xml:space="preserve">áp dụng số</w:t>
      </w:r>
      <w:r>
        <w:t xml:space="preserve">”</w:t>
      </w:r>
      <w:r>
        <w:t xml:space="preserve"> </w:t>
      </w:r>
      <w:r>
        <w:t xml:space="preserve">có thể bảo vệ hơn</w:t>
      </w:r>
      <w:r>
        <w:t xml:space="preserve"> </w:t>
      </w:r>
      <w:r>
        <w:t xml:space="preserve">“</w:t>
      </w:r>
      <w:r>
        <w:t xml:space="preserve">năng lực số</w:t>
      </w:r>
      <w:r>
        <w:t xml:space="preserve">”</w:t>
      </w:r>
      <w:r>
        <w:t xml:space="preserve"> </w:t>
      </w:r>
      <w:r>
        <w:t xml:space="preserve">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d8ac83d5c388707f18e2d2c91d00af829a3643f"/>
    <w:p>
      <w:pPr>
        <w:pStyle w:val="Heading3"/>
      </w:pPr>
      <w:r>
        <w:t xml:space="preserve">2.3 Xây dựng giả thuyết (hypothesis development)</w:t>
      </w:r>
    </w:p>
    <w:bookmarkStart w:id="28" w:name="tác-động-trực-tiếp-của-tci-lên-năng-suất"/>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Năng lực công nghệ (TCI) có mối liên hệ dương với hiệu quả doanh nghiệp tại Singapore.</w:t>
      </w:r>
    </w:p>
    <w:bookmarkEnd w:id="28"/>
    <w:bookmarkStart w:id="29" w:name="X434a2304a3a02ccb46993eea8dfac879db9412e"/>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tác-động-trực-tiếp-của-dai-lên-năng-suất"/>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Mối liên hệ năng suất của DAI tại Singapore mang tính có điều kiện thay vì đồng đều giữa các doanh nghiệp.</w:t>
      </w:r>
    </w:p>
    <w:bookmarkEnd w:id="30"/>
    <w:bookmarkStart w:id="31" w:name="X0d3da000a380d40e03dc6f69d483167e9475fa0"/>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Mối liên hệ giữa DAI và hiệu quả doanh nghiệp trở nên tích cực hơn ở mức cường độ xuất khẩu cao hơn tại Singapore, với cơ chế</w:t>
      </w:r>
      <w:r>
        <w:t xml:space="preserve"> </w:t>
      </w:r>
      <w:r>
        <w:rPr>
          <w:iCs/>
          <w:i/>
        </w:rPr>
        <w:t xml:space="preserve">khuếch đại</w:t>
      </w:r>
      <w:r>
        <w:t xml:space="preserve"> </w:t>
      </w:r>
      <w:r>
        <w:t xml:space="preserve">(mở rộng quy mô siêu tuyến tính thay vì dịch chuyển mức) là kỳ vọng lý thuyết trọng tâm nền tảng cho số hạng tương tác (interaction term) bậc hai FSTS × DAI dương.</w:t>
      </w:r>
    </w:p>
    <w:bookmarkEnd w:id="31"/>
    <w:bookmarkEnd w:id="32"/>
    <w:bookmarkStart w:id="33" w:name="mô-hình-khái-niệm"/>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tbl>
      <w:tblPr>
        <w:tblStyle w:val="FigureTable"/>
        <w:tblW w:type="auto" w:w="0"/>
        <w:tblLook w:firstRow="0" w:lastRow="0" w:firstColumn="0" w:lastColumn="0"/>
        <w:jc w:val="center"/>
      </w:tblPr>
      <w:tblGrid>
        <w:gridCol w:w="7920"/>
      </w:tblGrid>
      <w:tr>
        <w:tc>
          <w:tcPr/>
          <w:p>
            <w:pPr>
              <w:pStyle w:val="Compact"/>
              <w:jc w:val="center"/>
            </w:pPr>
            <w:r>
              <w:t xml:space="preserve">Hình 1: Mô hình khái niệm — TCI và DAI điều tiết mối quan hệ I–P</w:t>
            </w:r>
          </w:p>
        </w:tc>
      </w:tr>
    </w:tbl>
    <w:p>
      <w:pPr>
        <w:pStyle w:val="ImageCaption"/>
      </w:pPr>
      <w:r>
        <w:t xml:space="preserve">Hình 1: Mô hình khái niệm — TCI và DAI điều tiết mối quan hệ I–P</w:t>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3"/>
    <w:bookmarkEnd w:id="34"/>
    <w:bookmarkStart w:id="43" w:name="phương-pháp"/>
    <w:p>
      <w:pPr>
        <w:pStyle w:val="Heading2"/>
      </w:pPr>
      <w:r>
        <w:t xml:space="preserve">3 Phương pháp</w:t>
      </w:r>
    </w:p>
    <w:bookmarkStart w:id="35" w:name="dữ-liệu"/>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5"/>
    <w:bookmarkStart w:id="40" w:name="biến-số"/>
    <w:p>
      <w:pPr>
        <w:pStyle w:val="Heading3"/>
      </w:pPr>
      <w:r>
        <w:t xml:space="preserve">3.2 Biến số</w:t>
      </w:r>
    </w:p>
    <w:bookmarkStart w:id="36" w:name="biến-phụ-thuộc"/>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6"/>
    <w:bookmarkStart w:id="37" w:name="biến-độc-lập-trọng-tâm"/>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37"/>
    <w:bookmarkStart w:id="38" w:name="chỉ-số-tổng-hợp-tci-và-dai"/>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38"/>
    <w:bookmarkStart w:id="39" w:name="biến-kiểm-soát"/>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39"/>
    <w:bookmarkEnd w:id="40"/>
    <w:bookmarkStart w:id="41" w:name="X0c03c14dd7aa9aa2e0d2d816886337e43470026"/>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1"/>
    <w:bookmarkStart w:id="42" w:name="điều-kiện-biên-và-phạm-vi-nhận-dạng"/>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88,6%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w:t>
      </w:r>
      <w:r>
        <w:t xml:space="preserve"> </w:t>
      </w:r>
      <w:r>
        <w:t xml:space="preserve">“</w:t>
      </w:r>
      <w:r>
        <w:t xml:space="preserve">đường cong chữ U ngược thất bại</w:t>
      </w:r>
      <w:r>
        <w:t xml:space="preserve">”</w:t>
      </w:r>
      <w:r>
        <w:t xml:space="preserve">, vì kiểm định được điều kiện hóa trên hỗ trợ dày đặc xung quanh điểm ngoặt, mà điều kiện biên §3.4(i) xác lập là vắng mặt ở đây. Được đọc dựa trên giả thuyết bão hòa được phát triển trong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2"/>
    <w:bookmarkEnd w:id="43"/>
    <w:bookmarkStart w:id="49" w:name="kết-quả"/>
    <w:p>
      <w:pPr>
        <w:pStyle w:val="Heading2"/>
      </w:pPr>
      <w:r>
        <w:t xml:space="preserve">4 Kết quả</w:t>
      </w:r>
    </w:p>
    <w:bookmarkStart w:id="44" w:name="thống-kê-mô-tả"/>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4"/>
    <w:bookmarkStart w:id="45" w:name="X487076af44c710ae5122d605248e42257b79655"/>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trong khi số hạng bình phương âm và có ý nghĩa thống kê ở ngưỡng p &lt; ,10.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w:t>
      </w:r>
    </w:p>
    <w:bookmarkEnd w:id="45"/>
    <w:bookmarkStart w:id="46" w:name="kết-quả-tci"/>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6"/>
    <w:bookmarkStart w:id="47" w:name="kết-quả-dai"/>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w:t>
      </w:r>
      <w:r>
        <w:t xml:space="preserve"> </w:t>
      </w:r>
      <w:r>
        <w:t xml:space="preserve">“</w:t>
      </w:r>
      <w:r>
        <w:t xml:space="preserve">chủ yếu đơn điệu dương với độ cong bậc hai nhẹ</w:t>
      </w:r>
      <w:r>
        <w:t xml:space="preserve">”</w:t>
      </w:r>
      <w:r>
        <w:t xml:space="preserve"> </w:t>
      </w:r>
      <w:r>
        <w:t xml:space="preserve">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tbl>
      <w:tblPr>
        <w:tblStyle w:val="FigureTable"/>
        <w:tblW w:type="auto" w:w="0"/>
        <w:tblLook w:firstRow="0" w:lastRow="0" w:firstColumn="0" w:lastColumn="0"/>
        <w:jc w:val="center"/>
      </w:tblPr>
      <w:tblGrid>
        <w:gridCol w:w="7920"/>
      </w:tblGrid>
      <w:tr>
        <w:tc>
          <w:tcPr/>
          <w:p>
            <w:pPr>
              <w:pStyle w:val="Compact"/>
              <w:jc w:val="center"/>
            </w:pPr>
            <w:r>
              <w:t xml:space="preserve">Hình 2: Tác động biên của DAI lên log năng suất lao động theo các mức FSTS khác nhau (Singapore, N=617)</w:t>
            </w:r>
          </w:p>
        </w:tc>
      </w:tr>
    </w:tbl>
    <w:p>
      <w:pPr>
        <w:pStyle w:val="ImageCaption"/>
      </w:pPr>
      <w:r>
        <w:t xml:space="preserve">Hình 2: Tác động biên của DAI lên log năng suất lao động theo các mức FSTS khác nhau (Singapore, N=617)</w:t>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tbl>
      <w:tblPr>
        <w:tblStyle w:val="FigureTable"/>
        <w:tblW w:type="auto" w:w="0"/>
        <w:tblLook w:firstRow="0" w:lastRow="0" w:firstColumn="0" w:lastColumn="0"/>
        <w:jc w:val="center"/>
      </w:tblPr>
      <w:tblGrid>
        <w:gridCol w:w="7920"/>
      </w:tblGrid>
      <w:tr>
        <w:tc>
          <w:tcPr/>
          <w:p>
            <w:pPr>
              <w:pStyle w:val="Compact"/>
              <w:jc w:val="center"/>
            </w:pPr>
            <w:r>
              <w:t xml:space="preserve">Hình 3: Đường cong I–P dự đoán với dải tin cậy bootstrap (Singapore, OLS M2)</w:t>
            </w:r>
          </w:p>
        </w:tc>
      </w:tr>
    </w:tbl>
    <w:p>
      <w:pPr>
        <w:pStyle w:val="ImageCaption"/>
      </w:pPr>
      <w:r>
        <w:t xml:space="preserve">Hình 3: Đường cong I–P dự đoán với dải tin cậy bootstrap (Singapore, OLS M2)</w:t>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88,6%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47"/>
    <w:bookmarkStart w:id="48" w:name="kiểm-định-vững-robustness-check"/>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48"/>
    <w:bookmarkEnd w:id="49"/>
    <w:bookmarkStart w:id="52" w:name="thảo-luận"/>
    <w:p>
      <w:pPr>
        <w:pStyle w:val="Heading2"/>
      </w:pPr>
      <w:r>
        <w:t xml:space="preserve">5 Thảo luận</w:t>
      </w:r>
    </w:p>
    <w:bookmarkStart w:id="50" w:name="hàm-ý-lý-thuyết"/>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0"/>
    <w:bookmarkStart w:id="51" w:name="hàm-ý-quản-lý"/>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51"/>
    <w:bookmarkEnd w:id="52"/>
    <w:bookmarkStart w:id="53" w:name="kết-luận"/>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w:t>
      </w:r>
      <w:r>
        <w:t xml:space="preserve"> </w:t>
      </w:r>
      <w:r>
        <w:t xml:space="preserve">“</w:t>
      </w:r>
      <w:r>
        <w:t xml:space="preserve">chủ yếu tăng đơn điệu với độ cong bậc hai nhẹ</w:t>
      </w:r>
      <w:r>
        <w:t xml:space="preserve">”</w:t>
      </w:r>
      <w:r>
        <w:t xml:space="preserve"> </w:t>
      </w:r>
      <w:r>
        <w:t xml:space="preserve">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53"/>
    <w:bookmarkStart w:id="54" w:name="hạn-chế-và-hướng-nghiên-cứu-tương-lai"/>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54"/>
    <w:bookmarkStart w:id="5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 www.enterprisesurveys.org. Các script phân tích để tái lập kết quả có sẵn từ tác giả liên hệ theo yêu cầu hợp lý.</w:t>
      </w:r>
    </w:p>
    <w:bookmarkEnd w:id="55"/>
    <w:bookmarkStart w:id="5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56"/>
    <w:bookmarkStart w:id="57"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 https://doi.org/10.1037/0021-9010.90.1.94</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 https://doi.org/10.1016/j.leaqua.2010.10.010</w:t>
      </w:r>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 https://doi.org/10.1057/s41287-020-00328-2</w:t>
      </w:r>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 https://doi.org/10.1177/014920639101700108</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 https://doi.org/10.25300/MISQ/2013/37:2.3</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 https://doi.org/10.1257/mac.20180386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 https://doi.org/10.1016/j.jbusres.2008.01.013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w:t>
      </w:r>
      <w:r>
        <w:t xml:space="preserve"> </w:t>
      </w:r>
      <w:r>
        <w:rPr>
          <w:iCs/>
          <w:i/>
        </w:rPr>
        <w:t xml:space="preserve">47</w:t>
      </w:r>
      <w:r>
        <w:t xml:space="preserve">(3), 453–475. https://doi.org/10.1007/s11575-007-0024-2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 https://doi.org/10.1057/palgrave.jibs.8400003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 https://doi.org/10.1002/smj.2399</w:t>
      </w:r>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 https://doi.org/10.5465/256948</w:t>
      </w:r>
    </w:p>
    <w:p>
      <w:pPr>
        <w:pStyle w:val="BodyText"/>
      </w:pP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 https://doi.org/10.1016/j.ibusrev.2017.07.003</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w:t>
      </w:r>
      <w:r>
        <w:t xml:space="preserve">,</w:t>
      </w:r>
      <w:r>
        <w:t xml:space="preserve"> </w:t>
      </w:r>
      <w:r>
        <w:rPr>
          <w:iCs/>
          <w:i/>
        </w:rPr>
        <w:t xml:space="preserve">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 https://doi.org/10.1016/0304-4076(85)90158-7</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 https://doi.org/10.1057/s41267-017-0078-8</w:t>
      </w:r>
    </w:p>
    <w:p>
      <w:pPr>
        <w:pStyle w:val="BodyText"/>
      </w:pP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 https://doi.org/10.1007/s11135-006-9018-6</w:t>
      </w:r>
    </w:p>
    <w:p>
      <w:pPr>
        <w:pStyle w:val="BodyText"/>
      </w:pP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 https://doi.org/10.1057/palgrave.jibs.8400377</w:t>
      </w:r>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 https://doi.org/10.1057/palgrave.jibs.8400073</w:t>
      </w:r>
    </w:p>
    <w:p>
      <w:pPr>
        <w:pStyle w:val="BodyText"/>
      </w:pP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 https://doi.org/10.1177/0149206319846272</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 https://doi.org/10.1002/gsj.1336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 https://doi.org/10.1016/j.jbusres.2019.09.022</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 https://doi.org/10.1002/smj.2995</w:t>
      </w:r>
    </w:p>
    <w:p>
      <w:r>
        <w:pict>
          <v:rect style="width:0;height:1.5pt" o:hralign="center" o:hrstd="t" o:hr="t"/>
        </w:pict>
      </w:r>
    </w:p>
    <w:p>
      <w:pPr>
        <w:pStyle w:val="FirstParagraph"/>
      </w:pPr>
      <w:r>
        <w:rPr>
          <w:iCs/>
          <w:i/>
        </w:rPr>
        <w:t xml:space="preserve">Nguồn bối cảnh bổ sung (trích dẫn trong §1.1 và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World Bank. (2024).</w:t>
      </w:r>
      <w:r>
        <w:t xml:space="preserve"> </w:t>
      </w:r>
      <w:r>
        <w:rPr>
          <w:iCs/>
          <w:i/>
        </w:rPr>
        <w:t xml:space="preserve">World Bank Enterprise Survey: Singapore 2023</w:t>
      </w:r>
      <w:r>
        <w:t xml:space="preserve">. https://www.enterprisesurveys.org</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2026-05-14T10:33:29Z</dcterms:created>
  <dcterms:modified xsi:type="dcterms:W3CDTF">2026-05-14T10:33:29Z</dcterms:modified>
</cp:coreProperties>
</file>

<file path=docProps/custom.xml><?xml version="1.0" encoding="utf-8"?>
<Properties xmlns="http://schemas.openxmlformats.org/officeDocument/2006/custom-properties" xmlns:vt="http://schemas.openxmlformats.org/officeDocument/2006/docPropsVTypes"/>
</file>