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2009–2025;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"chưa quan sát thấy ngưỡng bất lợi của quốc tế hóa trong miền dữ liệu"</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4.x).</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BodyText"/>
      </w:pPr>
      <w:r>
        <w:drawing>
          <wp:inline>
            <wp:extent cx="5753100" cy="3849196"/>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753100" cy="3849196"/>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148edf673f29f3cdc512225d99b03a9e67e1c42"/>
    <w:p>
      <w:pPr>
        <w:pStyle w:val="Heading2"/>
      </w:pPr>
      <w:r>
        <w:t xml:space="preserve">4.7 Kết quả trường hợp biên SIDS —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chín quốc gia SIDS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51"/>
    <w:bookmarkStart w:id="52"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5"/>
    <w:bookmarkStart w:id="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6">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2026-06-07T14:58:36Z</dcterms:created>
  <dcterms:modified xsi:type="dcterms:W3CDTF">2026-06-07T14:58:36Z</dcterms:modified>
</cp:coreProperties>
</file>

<file path=docProps/custom.xml><?xml version="1.0" encoding="utf-8"?>
<Properties xmlns="http://schemas.openxmlformats.org/officeDocument/2006/custom-properties" xmlns:vt="http://schemas.openxmlformats.org/officeDocument/2006/docPropsVTypes"/>
</file>