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mixed synthesis-empirical design</w:t>
      </w:r>
      <w:r>
        <w:t xml:space="preserve"> </w:t>
      </w:r>
      <w:r>
        <w:t xml:space="preserve">gồm hai phase bổ sung cho nhau. Phase thứ nhất là meta-analysis tổng hợp văn liệu để trả lời RQ1, còn phase thứ hai là phân tích thực nghiệm doanh nghiệp đa quốc gia để trả lời RQ2–RQ4. Hai phase đối thoại hai chiều: meta cung cấp baseline và gợi ý biến điều tiết cần kiểm định, còn empirical cung cấp bằng chứng bổ sung cho meta về bối cảnh châu Á và Pacific.</w:t>
      </w:r>
    </w:p>
    <w:p>
      <w:pPr>
        <w:pStyle w:val="BodyText"/>
      </w:pPr>
      <w:r>
        <w:rPr>
          <w:bCs/>
          <w:b/>
        </w:rPr>
        <w:t xml:space="preserve">Cơ sở kế thừa</w:t>
      </w:r>
      <w:r>
        <w:t xml:space="preserve">: Mixed design kết hợp meta và primary data đã được áp dụng trong quản trị chiến lược và IB (Borenstein et al., 2009; Hunter &amp; Schmidt, 2004; Combs et al., 2011).</w:t>
      </w:r>
    </w:p>
    <w:p>
      <w:pPr>
        <w:pStyle w:val="BodyText"/>
      </w:pPr>
      <w:r>
        <w:rPr>
          <w:bCs/>
          <w:b/>
        </w:rPr>
        <w:t xml:space="preserve">Đóng góp mới</w:t>
      </w:r>
      <w:r>
        <w:t xml:space="preserve">: Áp dụng mixed design cho một luận án duy nhất về internationalization–firm performance trong bối cảnh châu Á và Pacific với</w:t>
      </w:r>
      <w:r>
        <w:t xml:space="preserve"> </w:t>
      </w:r>
      <w:r>
        <w:rPr>
          <w:bCs/>
          <w:b/>
        </w:rPr>
        <w:t xml:space="preserve">49 nền kinh tế</w:t>
      </w:r>
      <w:r>
        <w:t xml:space="preserve"> </w:t>
      </w:r>
      <w:r>
        <w:t xml:space="preserve">là thiết kế hiếm gặp; đa số các luận án IB chỉ làm một trong hai phase. Quy mô 49 nước/91.982 doanh nghiệp là phạm vi địa lý lớn nhất từng có cho khu vực, mở rộng từ pool 17 nước trong nghiên cứu thành phần P1.</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meta-analysis trước đây; (ii) xây dựng khung lý thuyết tích hợp đa tầng và hệ giả thuyết H1–H6; (iii) tiến hành meta-analysis cập nhật 1982–2026; (iv) thu thập và chuẩn hóa dữ liệu WBES cho</w:t>
      </w:r>
      <w:r>
        <w:t xml:space="preserve"> </w:t>
      </w:r>
      <w:r>
        <w:rPr>
          <w:bCs/>
          <w:b/>
        </w:rPr>
        <w:t xml:space="preserve">49 nền kinh tế châu Á và Pacific</w:t>
      </w:r>
      <w:r>
        <w:t xml:space="preserve"> </w:t>
      </w:r>
      <w:r>
        <w:t xml:space="preserve">sau khi hòa hợp 3 thế hệ schema (PICS3, Standardized, BREADY/BEE); (v) ước lượng mô hình thực nghiệm theo bối cảnh quốc gia và đa quốc gia; (vi) kiểm định độ vững và tích hợp kết quả để đóng góp lý thuyết.</w:t>
      </w:r>
    </w:p>
    <w:bookmarkEnd w:id="22"/>
    <w:bookmarkEnd w:id="23"/>
    <w:bookmarkStart w:id="27" w:name="phase-1-meta-analysis-19822026"/>
    <w:p>
      <w:pPr>
        <w:pStyle w:val="Heading2"/>
      </w:pPr>
      <w:r>
        <w:t xml:space="preserve">3.2 Phase 1: Meta-analysis 1982–2026</w:t>
      </w:r>
    </w:p>
    <w:bookmarkStart w:id="24" w:name="cơ-sở-kế-thừa"/>
    <w:p>
      <w:pPr>
        <w:pStyle w:val="Heading3"/>
      </w:pPr>
      <w:r>
        <w:t xml:space="preserve">3.2.1 Cơ sở kế thừa</w:t>
      </w:r>
    </w:p>
    <w:p>
      <w:pPr>
        <w:pStyle w:val="FirstParagraph"/>
      </w:pPr>
      <w:r>
        <w:t xml:space="preserve">Meta-analysis trong IB đã được thiết lập vững chắc qua nhiều thập kỷ (Hunter &amp; Schmidt, 2004; Borenstein et al., 2009). Phương pháp chuẩn bao gồm: xây dựng inclusion criteria theo PRISMA (Page et al., 2021), transmit hiệu ứng bằng Fisher’s</w:t>
      </w:r>
      <w:r>
        <w:t xml:space="preserve"> </w:t>
      </w:r>
      <m:oMath>
        <m:r>
          <m:t>z</m:t>
        </m:r>
      </m:oMath>
      <w:r>
        <w:t xml:space="preserve">, tính pooled effect size theo random-effects, kiểm định heterogeneity bằng</w:t>
      </w:r>
      <w:r>
        <w:t xml:space="preserve"> </w:t>
      </w:r>
      <m:oMath>
        <m:r>
          <m:t>Q</m:t>
        </m:r>
      </m:oMath>
      <w:r>
        <w:t xml:space="preserve">-test và</w:t>
      </w:r>
      <w:r>
        <w:t xml:space="preserve"> </w:t>
      </w:r>
      <m:oMath>
        <m:sSup>
          <m:e>
            <m:r>
              <m:t>I</m:t>
            </m:r>
          </m:e>
          <m:sup>
            <m:r>
              <m:t>2</m:t>
            </m:r>
          </m:sup>
        </m:sSup>
      </m:oMath>
      <w:r>
        <w:t xml:space="preserve">, và đánh giá publication bias bằng Egger và Begg-Mazumdar (Egger et al., 1997; Begg &amp; Mazumdar, 1994). Các meta-analyses trước đây về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coverage time</w:t>
      </w:r>
      <w:r>
        <w:t xml:space="preserve">: từ 1977–2022 (bài ICBEF 2025) sang</w:t>
      </w:r>
      <w:r>
        <w:t xml:space="preserve"> </w:t>
      </w:r>
      <w:r>
        <w:rPr>
          <w:bCs/>
          <w:b/>
        </w:rPr>
        <w:t xml:space="preserve">1982–2026</w:t>
      </w:r>
      <w:r>
        <w:t xml:space="preserve">, bổ sung các nghiên cứu 2023–2026 liên quan đến digital transformation và EMNEs.</w:t>
      </w:r>
    </w:p>
    <w:p>
      <w:pPr>
        <w:numPr>
          <w:ilvl w:val="0"/>
          <w:numId w:val="1001"/>
        </w:numPr>
        <w:pStyle w:val="Compact"/>
      </w:pPr>
      <w:r>
        <w:rPr>
          <w:bCs/>
          <w:b/>
        </w:rPr>
        <w:t xml:space="preserve">Mở rộng biến điều tiết coverage</w:t>
      </w:r>
      <w:r>
        <w:t xml:space="preserve">: thêm cụm biến điều tiết về digital capability và 6 sub-regime ICRV, chưa được xem xét đầy đủ trong các meta-analyses trước.</w:t>
      </w:r>
    </w:p>
    <w:p>
      <w:pPr>
        <w:numPr>
          <w:ilvl w:val="0"/>
          <w:numId w:val="1001"/>
        </w:numPr>
        <w:pStyle w:val="Compact"/>
      </w:pPr>
      <w:r>
        <w:rPr>
          <w:bCs/>
          <w:b/>
        </w:rPr>
        <w:t xml:space="preserve">Tập tổng hợp</w:t>
      </w:r>
      <w:r>
        <w:t xml:space="preserve">: K=288 effect sizes / k=238 nghiên cứu, được xây dựng theo chiến lược tìm kiếm hệ thống nhưng có giới hạn (citation-anchored: backward/forward citation từ 5 meta-analysis mỏ neo + bổ sung cơ sở dữ liệu), báo cáo theo biến thể PRISMA 2020</w:t>
      </w:r>
      <w:r>
        <w:t xml:space="preserve"> </w:t>
      </w:r>
      <w:r>
        <w:t xml:space="preserve">“</w:t>
      </w:r>
      <w:r>
        <w:t xml:space="preserve">studies identified via other methods</w:t>
      </w:r>
      <w:r>
        <w:t xml:space="preserve">”</w:t>
      </w:r>
      <w:r>
        <w:t xml:space="preserve">; mở rộng so với bản nền ICBEF 2025 (K=200 / k=113).</w:t>
      </w:r>
    </w:p>
    <w:p>
      <w:pPr>
        <w:numPr>
          <w:ilvl w:val="0"/>
          <w:numId w:val="1001"/>
        </w:numPr>
        <w:pStyle w:val="Compact"/>
      </w:pPr>
      <w:r>
        <w:rPr>
          <w:bCs/>
          <w:b/>
        </w:rPr>
        <w:t xml:space="preserve">Subgroup theo châu Á và Pacific</w:t>
      </w:r>
      <w:r>
        <w:t xml:space="preserve">: tách riêng nhóm nghiên cứu về doanh nghiệp châu Á và Pacific để cung cấp baseline trực tiếp cho phase empirical, đối chiếu với pool 17 nước trong nghiên cứu thành phần P1.</w:t>
      </w:r>
    </w:p>
    <w:bookmarkEnd w:id="25"/>
    <w:bookmarkStart w:id="26" w:name="quy-trình-prisma"/>
    <w:p>
      <w:pPr>
        <w:pStyle w:val="Heading3"/>
      </w:pPr>
      <w:r>
        <w:t xml:space="preserve">3.2.3 Quy trình PRISMA</w:t>
      </w:r>
    </w:p>
    <w:p>
      <w:pPr>
        <w:pStyle w:val="FirstParagraph"/>
      </w:pPr>
      <w:r>
        <w:t xml:space="preserve">Identification sang Screening sang Eligibility sang Inclusion theo hướng dẫn PRISMA 2020 (Page et al., 2021). Inclusion criteria: nghiên cứu thực nghiệm ở cấp doanh nghiệp, có đo lường internationalization và firm performance, có đủ thống kê để tính effect size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26"/>
    <w:bookmarkEnd w:id="27"/>
    <w:bookmarkStart w:id="36" w:name="X8de0b19c054d402e314fef9726425749df3fc18"/>
    <w:p>
      <w:pPr>
        <w:pStyle w:val="Heading2"/>
      </w:pPr>
      <w:r>
        <w:t xml:space="preserve">3.3 Phase 2: Phân tích thực nghiệm đa quốc gia</w:t>
      </w:r>
    </w:p>
    <w:bookmarkStart w:id="28" w:name="nguồn-dữ-liệu"/>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49 nền kinh tế châu Á và Pacific</w:t>
      </w:r>
      <w:r>
        <w:t xml:space="preserve"> </w:t>
      </w:r>
      <w:r>
        <w:t xml:space="preserve">trong giai đoạn</w:t>
      </w:r>
      <w:r>
        <w:t xml:space="preserve"> </w:t>
      </w:r>
      <w:r>
        <w:rPr>
          <w:bCs/>
          <w:b/>
        </w:rPr>
        <w:t xml:space="preserve">2003–2025</w:t>
      </w:r>
      <w:r>
        <w:t xml:space="preserve"> </w:t>
      </w:r>
      <w:r>
        <w:t xml:space="preserve">(91.982 doanh nghiệp, 102 cặp quốc gia × năm, 14 mốc khảo sát) (World Bank, n.d., 2019, 2023, 2026). WBES là bộ dữ liệu doanh nghiệp chuẩn hóa, phù hợp cho nghiên cứu so sánh đa quốc gia về firm-level outcomes (Aterido et al., 2011). Quy trình hợp nhất và hài hòa hóa chi tiết các bộ khảo sát quốc gia–năm thành bộ dữ liệu phân tích thống nhất (sáu bước S1–S6, xử lý tính so sánh tiền tệ, chiến lược pooled cross-section với hiệu ứng cố định hai chiều, cùng dòng dữ liệu PRISMA và mã tái lập) được trình bày đầy đủ ở</w:t>
      </w:r>
      <w:r>
        <w:t xml:space="preserve"> </w:t>
      </w:r>
      <w:r>
        <w:rPr>
          <w:bCs/>
          <w:b/>
        </w:rPr>
        <w:t xml:space="preserve">Phụ lục A</w:t>
      </w:r>
      <w:r>
        <w:t xml:space="preserve">.</w:t>
      </w:r>
    </w:p>
    <w:p>
      <w:pPr>
        <w:pStyle w:val="BodyText"/>
      </w:pPr>
      <w:r>
        <w:rPr>
          <w:bCs/>
          <w:b/>
        </w:rPr>
        <w:t xml:space="preserve">Cơ sở kế thừa</w:t>
      </w:r>
      <w:r>
        <w:t xml:space="preserve">: WBES đã được sử dụng rộng rãi trong nghiên cứu IB về emerging markets (Ayyagari et al., 2011; Cuervo-Cazurra et al., 2018; Chen &amp; Meng, 2022), đồng thời đã được sử dụng trong bài nghiên cứu thực trạng emerging Asia với 17 nền kinh tế và ~40.633 quan sát doanh nghiệp (nghiên cứu thành phần P1).</w:t>
      </w:r>
    </w:p>
    <w:p>
      <w:pPr>
        <w:pStyle w:val="BodyText"/>
      </w:pPr>
      <w:r>
        <w:rPr>
          <w:bCs/>
          <w:b/>
        </w:rPr>
        <w:t xml:space="preserve">Đóng góp mới</w:t>
      </w:r>
      <w:r>
        <w:t xml:space="preserve">: mở rộng quy mô từ 17 sang</w:t>
      </w:r>
      <w:r>
        <w:t xml:space="preserve"> </w:t>
      </w:r>
      <w:r>
        <w:rPr>
          <w:bCs/>
          <w:b/>
        </w:rPr>
        <w:t xml:space="preserve">49 nền kinh tế châu Á và Pacific</w:t>
      </w:r>
      <w:r>
        <w:t xml:space="preserve">, với 6 sub-regime ICRV (Advanced innovation-driven, Advanced resource-driven, Upper-middle, Lower-middle transition, Emerging, SIDS). Quy mô này là lớn nhất cho khu vực trong văn liệu internationalization–performance, gồm cả boundary case Pacific SIDS (7 nước, n=959 (mẫu phân tích sau lọc missing)) cho phép kiểm định forced internationalization penalty (nghiên cứu thành phần P8).</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văn liệu IB sử dụng WBES (Aterido et al., 2011; Cuervo-Cazurra et al., 2018); (2) Fixed effects ở cấp country-year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§3.5).</w:t>
      </w:r>
    </w:p>
    <w:bookmarkEnd w:id="28"/>
    <w:bookmarkStart w:id="29"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Labor productivity đo bằng</w:t>
      </w:r>
      <w:r>
        <w:t xml:space="preserve"> </w:t>
      </w:r>
      <m:oMath>
        <m:r>
          <m:rPr>
            <m:sty m:val="p"/>
          </m:rPr>
          <m:t>ln</m:t>
        </m:r>
        <m:d>
          <m:dPr>
            <m:begChr m:val="("/>
            <m:endChr m:val=")"/>
            <m:sepChr m:val=""/>
            <m:grow/>
          </m:dPr>
          <m:e>
            <m:r>
              <m:rPr>
                <m:nor/>
                <m:sty m:val="p"/>
              </m:rPr>
              <m:t>annual sales</m:t>
            </m:r>
            <m:r>
              <m:rPr>
                <m:sty m:val="p"/>
              </m:rPr>
              <m:t>/</m:t>
            </m:r>
            <m:r>
              <m:rPr>
                <m:nor/>
                <m:sty m:val="p"/>
              </m:rPr>
              <m:t>permanent full-time employees</m:t>
            </m:r>
          </m:e>
        </m:d>
      </m:oMath>
      <w:r>
        <w:t xml:space="preserve">.</w:t>
      </w:r>
    </w:p>
    <w:p>
      <w:pPr>
        <w:pStyle w:val="BodyText"/>
      </w:pPr>
      <w:r>
        <w:rPr>
          <w:bCs/>
          <w:b/>
        </w:rPr>
        <w:t xml:space="preserve">Cơ sở kế thừa</w:t>
      </w:r>
      <w:r>
        <w:t xml:space="preserve">: Labor productivity được sử dụng rộng rãi trong nghiên cứu WBES và trong văn liệu về firm productivity (Bloom et al., 2012; Hsieh &amp; Klenow, 2009). Chỉ tiêu này đã được vận hành hóa thành công trong bài thực trạng emerging Asia (nghiên cứu thành phần P1).</w:t>
      </w:r>
    </w:p>
    <w:p>
      <w:pPr>
        <w:pStyle w:val="BodyText"/>
      </w:pPr>
      <w:r>
        <w:rPr>
          <w:bCs/>
          <w:b/>
        </w:rPr>
        <w:t xml:space="preserve">Lập luận chọn</w:t>
      </w:r>
      <w:r>
        <w:t xml:space="preserve">: WBES không phải bộ financial statement đầy đủ, nên labor productivity phù hợp hơn ROA/ROE/ROS trong bối cảnh đa quốc gia. Ngoài ra, labor productivity ít bị ảnh hưởng bởi chuẩn mực kế toán khác biệt giữa các nước hơn so với các chỉ tiêu kế toán (Combs et al., 2005; Richard et al., 2009).</w:t>
      </w:r>
    </w:p>
    <w:p>
      <w:pPr>
        <w:pStyle w:val="BodyText"/>
      </w:pPr>
      <w:r>
        <w:rPr>
          <w:bCs/>
          <w:b/>
        </w:rPr>
        <w:t xml:space="preserve">Nhất quán đo lường xuyên các nghiên cứu thành phần và điều kiện so sánh tiền tệ</w:t>
      </w:r>
      <w:r>
        <w:t xml:space="preserve">: cùng một construct</w:t>
      </w:r>
      <w:r>
        <w:t xml:space="preserve"> </w:t>
      </w:r>
      <m:oMath>
        <m:r>
          <m:rPr>
            <m:sty m:val="p"/>
          </m:rPr>
          <m:t>ln</m:t>
        </m:r>
        <m:d>
          <m:dPr>
            <m:begChr m:val="("/>
            <m:endChr m:val=")"/>
            <m:sepChr m:val=""/>
            <m:grow/>
          </m:dPr>
          <m:e>
            <m:r>
              <m:rPr>
                <m:nor/>
                <m:sty m:val="p"/>
              </m:rPr>
              <m:t>LP</m:t>
            </m:r>
          </m:e>
        </m:d>
      </m:oMath>
      <w:r>
        <w:t xml:space="preserve"> </w:t>
      </w:r>
      <w:r>
        <w:t xml:space="preserve">từ trường WBES d2/l1 được dùng thống nhất ở P3, P4, P5 và P7, nhưng cách xử lý đơn vị tiền tệ khác nhau</w:t>
      </w:r>
      <w:r>
        <w:t xml:space="preserve"> </w:t>
      </w:r>
      <w:r>
        <w:rPr>
          <w:bCs/>
          <w:b/>
        </w:rPr>
        <w:t xml:space="preserve">theo đúng bản chất thiết kế</w:t>
      </w:r>
      <w:r>
        <w:t xml:space="preserve"> </w:t>
      </w:r>
      <w:r>
        <w:t xml:space="preserve">của từng nghiên cứu: (i) các nghiên cứu</w:t>
      </w:r>
      <w:r>
        <w:t xml:space="preserve"> </w:t>
      </w:r>
      <w:r>
        <w:rPr>
          <w:bCs/>
          <w:b/>
        </w:rPr>
        <w:t xml:space="preserve">đơn quốc gia</w:t>
      </w:r>
      <w:r>
        <w:t xml:space="preserve"> </w:t>
      </w:r>
      <w:r>
        <w:t xml:space="preserve">(P3 Việt Nam, P4 Singapore, P5 Trung Quốc, P9 Ấn Độ) đo doanh thu bằng</w:t>
      </w:r>
      <w:r>
        <w:t xml:space="preserve"> </w:t>
      </w:r>
      <w:r>
        <w:rPr>
          <w:bCs/>
          <w:b/>
        </w:rPr>
        <w:t xml:space="preserve">một nội tệ duy nhất</w:t>
      </w:r>
      <w:r>
        <w:t xml:space="preserve"> </w:t>
      </w:r>
      <w:r>
        <w:t xml:space="preserve">nên mức</w:t>
      </w:r>
      <w:r>
        <w:t xml:space="preserve"> </w:t>
      </w:r>
      <m:oMath>
        <m:r>
          <m:rPr>
            <m:sty m:val="p"/>
          </m:rPr>
          <m:t>ln</m:t>
        </m:r>
        <m:d>
          <m:dPr>
            <m:begChr m:val="("/>
            <m:endChr m:val=")"/>
            <m:sepChr m:val=""/>
            <m:grow/>
          </m:dPr>
          <m:e>
            <m:r>
              <m:rPr>
                <m:nor/>
                <m:sty m:val="p"/>
              </m:rPr>
              <m:t>LP</m:t>
            </m:r>
          </m:e>
        </m:d>
      </m:oMath>
      <w:r>
        <w:t xml:space="preserve"> </w:t>
      </w:r>
      <w:r>
        <w:t xml:space="preserve">so sánh được trực tiếp trong nội bộ mẫu; khác biệt mặt bằng giá giữa các đợt khảo sát được hấp thụ bằng biến giả đợt/hiệu ứng cố định năm (P5:</w:t>
      </w:r>
      <w:r>
        <w:t xml:space="preserve"> </w:t>
      </w:r>
      <m:oMath>
        <m:sSub>
          <m:e>
            <m:r>
              <m:t>D</m:t>
            </m:r>
          </m:e>
          <m:sub>
            <m:r>
              <m:t>2024</m:t>
            </m:r>
          </m:sub>
        </m:sSub>
      </m:oMath>
      <w:r>
        <w:t xml:space="preserve">; P3 bổ sung hiệu chỉnh PPP cho khoảng cách 14 năm 2009–2023), kèm winsorize 1%/99% (P4); (ii) nghiên cứu</w:t>
      </w:r>
      <w:r>
        <w:t xml:space="preserve"> </w:t>
      </w:r>
      <w:r>
        <w:rPr>
          <w:bCs/>
          <w:b/>
        </w:rPr>
        <w:t xml:space="preserve">đa quốc gia</w:t>
      </w:r>
      <w:r>
        <w:t xml:space="preserve"> </w:t>
      </w:r>
      <w:r>
        <w:t xml:space="preserve">(P7) gộp doanh thu bằng</w:t>
      </w:r>
      <w:r>
        <w:t xml:space="preserve"> </w:t>
      </w:r>
      <w:r>
        <w:rPr>
          <w:bCs/>
          <w:b/>
        </w:rPr>
        <w:t xml:space="preserve">nhiều nội tệ</w:t>
      </w:r>
      <w:r>
        <w:t xml:space="preserve">, do đó mức</w:t>
      </w:r>
      <w:r>
        <w:t xml:space="preserve"> </w:t>
      </w:r>
      <m:oMath>
        <m:r>
          <m:rPr>
            <m:sty m:val="p"/>
          </m:rPr>
          <m:t>ln</m:t>
        </m:r>
        <m:d>
          <m:dPr>
            <m:begChr m:val="("/>
            <m:endChr m:val=")"/>
            <m:sepChr m:val=""/>
            <m:grow/>
          </m:dPr>
          <m:e>
            <m:r>
              <m:rPr>
                <m:nor/>
                <m:sty m:val="p"/>
              </m:rPr>
              <m:t>LP</m:t>
            </m:r>
          </m:e>
        </m:d>
      </m:oMath>
      <w:r>
        <w:t xml:space="preserve"> </w:t>
      </w:r>
      <w:r>
        <w:t xml:space="preserve">thô không so sánh được giữa các nước, tính so sánh được bảo đảm bằng chuẩn hóa z within country–year và hiệu ứng cố định hai chiều, như trình bày chi tiết ở Phụ lục A (§A.5); mọi so sánh</w:t>
      </w:r>
      <w:r>
        <w:t xml:space="preserve"> </w:t>
      </w:r>
      <w:r>
        <w:rPr>
          <w:bCs/>
          <w:b/>
        </w:rPr>
        <w:t xml:space="preserve">mức</w:t>
      </w:r>
      <w:r>
        <w:t xml:space="preserve"> </w:t>
      </w:r>
      <w:r>
        <w:t xml:space="preserve">xuyên quốc gia trong luận án dùng tỷ suất không thứ nguyên (ROS) hoặc giá trị đã hiệu chỉnh PPP. Như vậy tính so sánh xuyên quốc gia của thước đo là</w:t>
      </w:r>
      <w:r>
        <w:t xml:space="preserve"> </w:t>
      </w:r>
      <w:r>
        <w:rPr>
          <w:bCs/>
          <w:b/>
        </w:rPr>
        <w:t xml:space="preserve">có điều kiện</w:t>
      </w:r>
      <w:r>
        <w:t xml:space="preserve">, đạt được qua thiết kế ước lượng, không phải tự động ở mức thô. Về phía biến quốc tế hóa, khung ước lượng đa quốc gia của luận án (P7, P8, P9) và thống kê mô tả ở Chuyên đề 1 đo FSTS bằng</w:t>
      </w:r>
      <w:r>
        <w:t xml:space="preserve"> </w:t>
      </w:r>
      <w:r>
        <w:rPr>
          <w:bCs/>
          <w:b/>
        </w:rPr>
        <w:t xml:space="preserve">tổng xuất khẩu trực tiếp và gián tiếp</w:t>
      </w:r>
      <w:r>
        <w:t xml:space="preserve"> </w:t>
      </w:r>
      <w:r>
        <w:t xml:space="preserve">(trường WBES d3b + d3c), định nghĩa tham gia xuất khẩu chuẩn của bộ công cụ WBES; hai nghiên cứu đơn quốc gia (P3 Việt Nam, P5 Trung Quốc) dùng</w:t>
      </w:r>
      <w:r>
        <w:t xml:space="preserve"> </w:t>
      </w:r>
      <w:r>
        <w:rPr>
          <w:bCs/>
          <w:b/>
        </w:rPr>
        <w:t xml:space="preserve">riêng xuất khẩu trực tiếp</w:t>
      </w:r>
      <w:r>
        <w:t xml:space="preserve"> </w:t>
      </w:r>
      <w:r>
        <w:t xml:space="preserve">(d3c), vì xuất khẩu gián tiếp ủy thác chức năng quốc tế hóa cho trung gian thương mại với cơ chế học hỏi và yêu cầu nguồn lực khác về bản chất (Hessels &amp; Terjesen, 2010; Peng &amp; Ilinitch, 1998), trong khi tỷ trọng doanh thu xuất khẩu là thước đo cường độ quốc tế hóa chuẩn của văn liệu I–P (Lu &amp; Beamish, 2001; Sullivan, 1994); lựa chọn thao tác hóa được ghi rõ trong phần dữ liệu của từng nghiên cứu thành phần.</w:t>
      </w:r>
    </w:p>
    <w:p>
      <w:pPr>
        <w:pStyle w:val="BodyText"/>
      </w:pPr>
      <w:r>
        <w:rPr>
          <w:bCs/>
          <w:b/>
        </w:rPr>
        <w:t xml:space="preserve">Biến độ vững</w:t>
      </w:r>
      <w:r>
        <w:t xml:space="preserve">: ROS, sales growth, employment growth,</w:t>
      </w:r>
      <w:r>
        <w:t xml:space="preserve"> </w:t>
      </w:r>
      <m:oMath>
        <m:r>
          <m:rPr>
            <m:sty m:val="p"/>
          </m:rPr>
          <m:t>ln</m:t>
        </m:r>
      </m:oMath>
      <w:r>
        <w:t xml:space="preserve">(annual sales).</w:t>
      </w:r>
    </w:p>
    <w:p>
      <w:pPr>
        <w:pStyle w:val="BodyText"/>
      </w:pPr>
      <w:r>
        <w:rPr>
          <w:bCs/>
          <w:b/>
        </w:rPr>
        <w:t xml:space="preserve">Đóng góp mới</w:t>
      </w:r>
      <w:r>
        <w:t xml:space="preserve">: lập luận rõ ràng về firm performance là khái niệm đa chiều và việc lựa chọn thước đo phải phù hợp với bối cảnh dữ liệu (xem Chương 2).</w:t>
      </w:r>
    </w:p>
    <w:bookmarkEnd w:id="29"/>
    <w:bookmarkStart w:id="30"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Foreign Sales To Total Sales (FSTS), đo bằng tỷ lệ doanh thu xuất khẩu trên tổng doanh thu.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và</w:t>
      </w:r>
      <w:r>
        <w:t xml:space="preserve"> </w:t>
      </w:r>
      <m:oMath>
        <m:r>
          <m:t>F</m:t>
        </m:r>
        <m:r>
          <m:t>S</m:t>
        </m:r>
        <m:r>
          <m:t>T</m:t>
        </m:r>
        <m:sSup>
          <m:e>
            <m:r>
              <m:t>S</m:t>
            </m:r>
          </m:e>
          <m:sup>
            <m:r>
              <m:t>3</m:t>
            </m:r>
          </m:sup>
        </m:sSup>
      </m:oMath>
      <w:r>
        <w:t xml:space="preserve"> </w:t>
      </w:r>
      <w:r>
        <w:t xml:space="preserve">để kiểm định phi tuyến S-curve / cubic.</w:t>
      </w:r>
    </w:p>
    <w:p>
      <w:pPr>
        <w:pStyle w:val="BodyText"/>
      </w:pPr>
      <w:r>
        <w:rPr>
          <w:bCs/>
          <w:b/>
        </w:rPr>
        <w:t xml:space="preserve">Cơ sở kế thừa</w:t>
      </w:r>
      <w:r>
        <w:t xml:space="preserve">: FSTS là thước đo internationalization phổ biến nhất trong I–P văn liệu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Specification cubic được nghiên cứu thành phần P2 xác nhận có ý nghĩa thống kê ở Trung Quốc với điểm uốn ~47,8% FSTS, làm baseline cho việc kiểm định mở rộng trong luận án.</w:t>
      </w:r>
    </w:p>
    <w:bookmarkEnd w:id="30"/>
    <w:bookmarkStart w:id="34" w:name="đo-lường-biến-điều-tiết"/>
    <w:p>
      <w:pPr>
        <w:pStyle w:val="Heading3"/>
      </w:pPr>
      <w:r>
        <w:t xml:space="preserve">3.3.4 Đo lường biến điều tiết</w:t>
      </w:r>
    </w:p>
    <w:bookmarkStart w:id="31" w:name="digital-constructs-tci-và-dai"/>
    <w:p>
      <w:pPr>
        <w:pStyle w:val="Heading4"/>
      </w:pPr>
      <w:r>
        <w:t xml:space="preserve">Digital constructs (TCI và DAI)</w:t>
      </w:r>
    </w:p>
    <w:p>
      <w:pPr>
        <w:pStyle w:val="FirstParagraph"/>
      </w:pPr>
      <w:r>
        <w:t xml:space="preserve">Luận án phân biệt rõ hai construct:</w:t>
      </w:r>
    </w:p>
    <w:p>
      <w:pPr>
        <w:numPr>
          <w:ilvl w:val="0"/>
          <w:numId w:val="1002"/>
        </w:numPr>
        <w:pStyle w:val="Compact"/>
      </w:pPr>
      <w:r>
        <w:rPr>
          <w:bCs/>
          <w:b/>
        </w:rPr>
        <w:t xml:space="preserve">Technological Capability Index (TCI)</w:t>
      </w:r>
      <w:r>
        <w:t xml:space="preserve">: chiều sâu năng lực công nghệ, tổng hợp từ foreign technology licensing, R&amp;D spending, product innovation, và quality certification.</w:t>
      </w:r>
    </w:p>
    <w:p>
      <w:pPr>
        <w:numPr>
          <w:ilvl w:val="0"/>
          <w:numId w:val="1002"/>
        </w:numPr>
        <w:pStyle w:val="Compact"/>
      </w:pPr>
      <w:r>
        <w:rPr>
          <w:bCs/>
          <w:b/>
        </w:rPr>
        <w:t xml:space="preserve">Digital Adoption Index (DAI)</w:t>
      </w:r>
      <w:r>
        <w:t xml:space="preserve">: mức độ chấp nhận số bề mặt, tổng hợp từ website, email, online sales (DAI_thin) hoặc bổ sung e-payment và e-supplier (DAI_rich).</w:t>
      </w:r>
    </w:p>
    <w:p>
      <w:pPr>
        <w:pStyle w:val="FirstParagraph"/>
      </w:pPr>
      <w:r>
        <w:rPr>
          <w:bCs/>
          <w:b/>
        </w:rPr>
        <w:t xml:space="preserve">Nguyên tắc non-overlapping</w:t>
      </w:r>
      <w:r>
        <w:t xml:space="preserve">: TCI và DAI không được chia sẻ component để bảo đảm construct purity. Đặc biệt, foreign technology licensing thuộc TCI chứ không được đồng thời tính vào DAI.</w:t>
      </w:r>
    </w:p>
    <w:p>
      <w:pPr>
        <w:pStyle w:val="BodyText"/>
      </w:pPr>
      <w:r>
        <w:rPr>
          <w:bCs/>
          <w:b/>
        </w:rPr>
        <w:t xml:space="preserve">Cơ sở kế thừa</w:t>
      </w:r>
      <w:r>
        <w:t xml:space="preserve">: Bhandari et al. (2023) phân biệt digitalization, internationalization và capability theo resource-orchestration logic; Verhoef et al. (2021) phân biệt three stages (digitization, digitalization, digital transformation). Pattern</w:t>
      </w:r>
      <w:r>
        <w:t xml:space="preserve"> </w:t>
      </w:r>
      <w:r>
        <w:t xml:space="preserve">“</w:t>
      </w:r>
      <w:r>
        <w:t xml:space="preserve">digital shield effect</w:t>
      </w:r>
      <w:r>
        <w:t xml:space="preserve">”</w:t>
      </w:r>
      <w:r>
        <w:t xml:space="preserve"> </w:t>
      </w:r>
      <w:r>
        <w:t xml:space="preserve">được nghiên cứu thành phần P1 phát hiện trên 17 nước châu Á mới nổi.</w:t>
      </w:r>
    </w:p>
    <w:p>
      <w:pPr>
        <w:pStyle w:val="BodyText"/>
      </w:pPr>
      <w:r>
        <w:rPr>
          <w:bCs/>
          <w:b/>
        </w:rPr>
        <w:t xml:space="preserve">Đóng góp mới</w:t>
      </w:r>
      <w:r>
        <w:t xml:space="preserve">: Đưa ra</w:t>
      </w:r>
      <w:r>
        <w:t xml:space="preserve"> </w:t>
      </w:r>
      <w:r>
        <w:rPr>
          <w:bCs/>
          <w:b/>
        </w:rPr>
        <w:t xml:space="preserve">measurement harmonization protocol</w:t>
      </w:r>
      <w:r>
        <w:t xml:space="preserve"> </w:t>
      </w:r>
      <w:r>
        <w:t xml:space="preserve">trong bối cảnh WBES, đảm bảo construct purity ở 49 nền kinh tế châu Á và Pacific, với pipeline hòa hợp 3 thế hệ schema. Phân tách TCI và DAI theo (i) Bharadwaj et al. (2013), IT capability vs digital business strategy có nomological nets khác nhau; (ii) phân tầng 3 cấp của Verhoef et al. (2021), digitization, digitalization, digital transformation; (iii) truyền thống Lall (1992) và Cohen &amp; Levinthal (1990) coi technological capability là chiều sâu năng lực nội tại (absorptive capacity), khác về bản chất với digital adoption ở giao diện ngoại tại; (iv) resource-orchestration logic của Bhandari et al. (2023) cho I–P relationship; và (v) 4 tiêu chí formative composite của Coltman et al. (2008), đảm bảo TCI và DAI là hai composite độc lập.</w:t>
      </w:r>
    </w:p>
    <w:bookmarkEnd w:id="31"/>
    <w:bookmarkStart w:id="32" w:name="biến-thể-chế"/>
    <w:p>
      <w:pPr>
        <w:pStyle w:val="Heading4"/>
      </w:pPr>
      <w:r>
        <w:t xml:space="preserve">Biến thể chế</w:t>
      </w:r>
    </w:p>
    <w:p>
      <w:pPr>
        <w:pStyle w:val="FirstParagraph"/>
      </w:pPr>
      <w:r>
        <w:rPr>
          <w:bCs/>
          <w:b/>
        </w:rPr>
        <w:t xml:space="preserve">Biến chính</w:t>
      </w:r>
      <w:r>
        <w:t xml:space="preserve">: business obstacle index (tổng hợp từ các câu hỏi WBES về obstacles), country-level governance proxies, chỉ số pháp quyền WGI (Kaufmann et al., 2011), 6 sub-regime ICRV (classification từ Khanna &amp; Palepu, 2010 mở rộng).</w:t>
      </w:r>
    </w:p>
    <w:p>
      <w:pPr>
        <w:pStyle w:val="BodyText"/>
      </w:pPr>
      <w:r>
        <w:rPr>
          <w:bCs/>
          <w:b/>
        </w:rPr>
        <w:t xml:space="preserve">Cơ sở kế thừa</w:t>
      </w:r>
      <w:r>
        <w:t xml:space="preserve">: Khanna và Palepu (2010) với institutional voids; North (1990) với institutional analysis; Marano et al. (2016) với meta-analytic evidence về institutional các biến điều tiết.</w:t>
      </w:r>
    </w:p>
    <w:bookmarkEnd w:id="32"/>
    <w:bookmarkStart w:id="33" w:name="đặc-điểm-nhà-quản-trị-cấp-cao"/>
    <w:p>
      <w:pPr>
        <w:pStyle w:val="Heading4"/>
      </w:pPr>
      <w:r>
        <w:t xml:space="preserve">Đặc điểm nhà quản trị cấp cao</w:t>
      </w:r>
    </w:p>
    <w:p>
      <w:pPr>
        <w:pStyle w:val="FirstParagraph"/>
      </w:pPr>
      <w:r>
        <w:rPr>
          <w:bCs/>
          <w:b/>
        </w:rPr>
        <w:t xml:space="preserve">Biến chính</w:t>
      </w:r>
      <w:r>
        <w:t xml:space="preserve">: top manager experience (năm kinh nghiệm), top manager gender (female / male).</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subset có đủ dữ liệu; nếu thiếu, đưa vào độ vững chứ không bắt buộc trong mô hình chính.</w:t>
      </w:r>
    </w:p>
    <w:bookmarkEnd w:id="33"/>
    <w:bookmarkEnd w:id="34"/>
    <w:bookmarkStart w:id="35" w:name="biến-kiểm-soát"/>
    <w:p>
      <w:pPr>
        <w:pStyle w:val="Heading3"/>
      </w:pPr>
      <w:r>
        <w:t xml:space="preserve">3.3.5 Biến kiểm soát</w:t>
      </w:r>
    </w:p>
    <w:p>
      <w:pPr>
        <w:pStyle w:val="FirstParagraph"/>
      </w:pPr>
      <m:oMath>
        <m:r>
          <m:rPr>
            <m:sty m:val="p"/>
          </m:rPr>
          <m:t>ln</m:t>
        </m:r>
      </m:oMath>
      <w:r>
        <w:t xml:space="preserve"> </w:t>
      </w:r>
      <w:r>
        <w:t xml:space="preserve">employment, firm age, foreign ownership dummy, sector dummy, country fixed effects, year fixed effects.</w:t>
      </w:r>
    </w:p>
    <w:p>
      <w:pPr>
        <w:pStyle w:val="BodyText"/>
      </w:pPr>
      <w:r>
        <w:rPr>
          <w:bCs/>
          <w:b/>
        </w:rPr>
        <w:t xml:space="preserve">Cơ sở kế thừa</w:t>
      </w:r>
      <w:r>
        <w:t xml:space="preserve">: chuẩn trong nghiên cứu WBES và IB (Aterido et al., 2011; Ayyagari et al., 2011).</w:t>
      </w:r>
    </w:p>
    <w:bookmarkEnd w:id="35"/>
    <w:bookmarkEnd w:id="36"/>
    <w:bookmarkStart w:id="51" w:name="mô-hình-phân-tích"/>
    <w:p>
      <w:pPr>
        <w:pStyle w:val="Heading2"/>
      </w:pPr>
      <w:r>
        <w:t xml:space="preserve">3.4 Mô hình phân tích</w:t>
      </w:r>
    </w:p>
    <w:bookmarkStart w:id="37" w:name="mô-hình-meta-analysis"/>
    <w:p>
      <w:pPr>
        <w:pStyle w:val="Heading3"/>
      </w:pPr>
      <w:r>
        <w:t xml:space="preserve">3.4.1 Mô hình meta-analysis</w:t>
      </w:r>
    </w:p>
    <w:p>
      <w:pPr>
        <w:pStyle w:val="FirstParagraph"/>
      </w:pPr>
      <w:r>
        <w:t xml:space="preserve">Random-effects model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effect size của nghiên cứu</w:t>
      </w:r>
      <w:r>
        <w:t xml:space="preserve"> </w:t>
      </w:r>
      <m:oMath>
        <m:r>
          <m:t>i</m:t>
        </m:r>
      </m:oMath>
      <w:r>
        <w:t xml:space="preserve">. Pooled effect size tính theo inverse-variance weighting (Borenstein et al., 2009).</w:t>
      </w:r>
    </w:p>
    <w:p>
      <w:pPr>
        <w:pStyle w:val="BodyText"/>
      </w:pPr>
      <w:r>
        <w:t xml:space="preserve">Heterogeneity đo bằng</w:t>
      </w:r>
      <w:r>
        <w:t xml:space="preserve"> </w:t>
      </w:r>
      <m:oMath>
        <m:r>
          <m:t>Q</m:t>
        </m:r>
      </m:oMath>
      <w:r>
        <w:t xml:space="preserve">-test và</w:t>
      </w:r>
      <w:r>
        <w:t xml:space="preserve"> </w:t>
      </w:r>
      <m:oMath>
        <m:sSup>
          <m:e>
            <m:r>
              <m:t>I</m:t>
            </m:r>
          </m:e>
          <m:sup>
            <m:r>
              <m:t>2</m:t>
            </m:r>
          </m:sup>
        </m:sSup>
      </m:oMath>
      <w:r>
        <w:t xml:space="preserve"> </w:t>
      </w:r>
      <w:r>
        <w:t xml:space="preserve">(Higgins et al., 2003). Subgroup analysis và meta-regression để kiểm định các biến điều tiết.</w:t>
      </w:r>
    </w:p>
    <w:p>
      <w:pPr>
        <w:pStyle w:val="BodyText"/>
      </w:pPr>
      <w:r>
        <w:rPr>
          <w:bCs/>
          <w:b/>
        </w:rPr>
        <w:t xml:space="preserve">Cơ sở kế thừa</w:t>
      </w:r>
      <w:r>
        <w:t xml:space="preserve">: chuẩn meta-analysis trong quản trị chiến lược (Combs et al., 2011; Aguinis et al., 2011).</w:t>
      </w:r>
    </w:p>
    <w:bookmarkEnd w:id="37"/>
    <w:bookmarkStart w:id="38" w:name="mô-hình-empirical-tuyến-tính-cơ-bản"/>
    <w:p>
      <w:pPr>
        <w:pStyle w:val="Heading3"/>
      </w:pPr>
      <w:r>
        <w:t xml:space="preserve">3.4.2 Mô hình empirical: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38"/>
    <w:bookmarkStart w:id="39"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cubic theo specification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nghiên cứu thành phần P2 cho cubic specification ở China với điểm uốn ~47,8% FSTS.</w:t>
      </w:r>
    </w:p>
    <w:p>
      <w:pPr>
        <w:pStyle w:val="BodyText"/>
      </w:pPr>
      <w:r>
        <w:rPr>
          <w:bCs/>
          <w:b/>
        </w:rPr>
        <w:t xml:space="preserve">Lind–Mehlum U-test</w:t>
      </w:r>
      <w:r>
        <w:t xml:space="preserve"> </w:t>
      </w:r>
      <w:r>
        <w:t xml:space="preserve">(Lind &amp; Mehlum, 2010; Haans et al., 2016) để xác nhận chặt chữ U ngược: kiểm định slope dương ở bên trái và slope âm ở bên phải của domain</w:t>
      </w:r>
      <w:r>
        <w:t xml:space="preserve"> </w:t>
      </w:r>
      <m:oMath>
        <m:r>
          <m:t>F</m:t>
        </m:r>
        <m:r>
          <m:t>S</m:t>
        </m:r>
        <m:r>
          <m:t>T</m:t>
        </m:r>
        <m:r>
          <m:t>S</m:t>
        </m:r>
      </m:oMath>
      <w:r>
        <w:t xml:space="preserve">.</w:t>
      </w:r>
    </w:p>
    <w:bookmarkEnd w:id="39"/>
    <w:bookmarkStart w:id="42" w:name="mô-hình-moderation-h2h6"/>
    <w:p>
      <w:pPr>
        <w:pStyle w:val="Heading3"/>
      </w:pPr>
      <w:r>
        <w:t xml:space="preserve">3.4.4 Mô hình moderation (H2–H6)</w:t>
      </w:r>
    </w:p>
    <w:bookmarkStart w:id="40" w:name="two-way-interaction-h2-h3"/>
    <w:p>
      <w:pPr>
        <w:pStyle w:val="Heading4"/>
      </w:pPr>
      <w:r>
        <w:t xml:space="preserve">Two-way interaction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0"/>
    <w:bookmarkStart w:id="41" w:name="three-way-interaction-synthesis"/>
    <w:p>
      <w:pPr>
        <w:pStyle w:val="Heading4"/>
      </w:pPr>
      <w:r>
        <w:t xml:space="preserve">Three-way interaction (synthesis)</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digital,</w:t>
      </w:r>
      <w:r>
        <w:t xml:space="preserve"> </w:t>
      </w:r>
      <m:oMath>
        <m:r>
          <m:t>I</m:t>
        </m:r>
      </m:oMath>
      <w:r>
        <w:t xml:space="preserve"> </w:t>
      </w:r>
      <w:r>
        <w:t xml:space="preserve">= institutional,</w:t>
      </w:r>
      <w:r>
        <w:t xml:space="preserve"> </w:t>
      </w:r>
      <m:oMath>
        <m:r>
          <m:t>M</m:t>
        </m:r>
      </m:oMath>
      <w:r>
        <w:t xml:space="preserve"> </w:t>
      </w:r>
      <w:r>
        <w:t xml:space="preserve">= manager.</w:t>
      </w:r>
    </w:p>
    <w:p>
      <w:pPr>
        <w:pStyle w:val="BodyText"/>
      </w:pPr>
      <w:r>
        <w:rPr>
          <w:bCs/>
          <w:b/>
        </w:rPr>
        <w:t xml:space="preserve">Cơ sở kế thừa</w:t>
      </w:r>
      <w:r>
        <w:t xml:space="preserve">: chuẩn moderation trong quản trị chiến lược (Aiken &amp; West, 1991; Dawson, 2014).</w:t>
      </w:r>
    </w:p>
    <w:p>
      <w:pPr>
        <w:pStyle w:val="BodyText"/>
      </w:pPr>
      <w:r>
        <w:rPr>
          <w:bCs/>
          <w:b/>
        </w:rPr>
        <w:t xml:space="preserve">Đóng góp mới</w:t>
      </w:r>
      <w:r>
        <w:t xml:space="preserve">: three-way moderation digital × institutional × manager trong bối cảnh châu Á và Pacific với 49 nước chưa được kiểm định trước đây.</w:t>
      </w:r>
    </w:p>
    <w:bookmarkEnd w:id="41"/>
    <w:bookmarkEnd w:id="42"/>
    <w:bookmarkStart w:id="43" w:name="mô-hình-temporal-heterogeneity-h6"/>
    <w:p>
      <w:pPr>
        <w:pStyle w:val="Heading3"/>
      </w:pPr>
      <w:r>
        <w:t xml:space="preserve">3.4.5 Mô hình temporal heterogeneity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twenty-year evolution; Xiao et al. (2013) với China-specific contingencies; nghiên cứu thành phần P2 làm baseline cubic 2012.</w:t>
      </w:r>
    </w:p>
    <w:p>
      <w:pPr>
        <w:pStyle w:val="BodyText"/>
      </w:pPr>
      <w:r>
        <w:rPr>
          <w:bCs/>
          <w:b/>
        </w:rPr>
        <w:t xml:space="preserve">Đóng góp mới</w:t>
      </w:r>
      <w:r>
        <w:t xml:space="preserve">: áp dụng cho China 2012 và 2024 để kiểm định stability của cubic điểm uốn (~47,8% FSTS) sau hơn một thập kỷ chuyển đổi số.</w:t>
      </w:r>
    </w:p>
    <w:bookmarkEnd w:id="43"/>
    <w:bookmarkStart w:id="44"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gộp pooled.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rPr>
          <w:bCs/>
          <w:b/>
        </w:rPr>
        <w:t xml:space="preserve">CDDXK_c²_it</w:t>
      </w:r>
      <w:r>
        <w:t xml:space="preserve"> </w:t>
      </w:r>
      <w:r>
        <w:t xml:space="preserve">= FSTS_c²_it: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pooled. Mô hình được ước lượng riêng cho 3 sóng và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44"/>
    <w:bookmarkStart w:id="45"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CDDXK_c² 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P3 ở chỗ bao gồm e-payment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4"/>
        </w:numPr>
        <w:pStyle w:val="Compact"/>
      </w:pPr>
      <w:r>
        <w:rPr>
          <w:bCs/>
          <w:b/>
        </w:rPr>
        <w:t xml:space="preserve">δ_s</w:t>
      </w:r>
      <w:r>
        <w:t xml:space="preserve">: sector fixed effects (ISIC 1-chữ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 β₁ CDDXK_c_i + γ·X_i + δ_s + ε_i</w:t>
      </w:r>
    </w:p>
    <w:p>
      <w:pPr>
        <w:pStyle w:val="BlockText"/>
      </w:pPr>
      <w:r>
        <w:t xml:space="preserve">M2 (Bậc hai FSTS, kiểm định H1):</w:t>
      </w:r>
      <w:r>
        <w:t xml:space="preserve"> </w:t>
      </w:r>
      <w:r>
        <w:t xml:space="preserve">lnNSLD_i = α + β₁ CDDXK_c_i + β₂ CDDXK_c²_i + γ·X_i + δ_s + ε_i</w:t>
      </w:r>
      <w:r>
        <w:t xml:space="preserve"> </w:t>
      </w:r>
      <w:r>
        <w:t xml:space="preserve">H1: β₁ &gt; 0, β₂ &lt; 0; TP* = −β₁/(2β₂) ≈ 88,6%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 β₁ CDDXK_c + β₂ CDDXK_c² + β₃ NLCN_z + γ·X + δ_s + ε</w:t>
      </w:r>
    </w:p>
    <w:p>
      <w:pPr>
        <w:pStyle w:val="BlockText"/>
      </w:pPr>
      <w:r>
        <w:t xml:space="preserve">M4 (+ CSS trực tiếp):</w:t>
      </w:r>
      <w:r>
        <w:t xml:space="preserve"> </w:t>
      </w:r>
      <w:r>
        <w:t xml:space="preserve">lnNSLD_i = α + β₁ CDDXK_c + β₂ CDDXK_c² + β₃ NLCN_z + β₄ CSS_z + γ·X + δ_s + ε</w:t>
      </w:r>
    </w:p>
    <w:p>
      <w:pPr>
        <w:pStyle w:val="BlockText"/>
      </w:pPr>
      <w:r>
        <w:t xml:space="preserve">M5 (Mô hình đầy đủ, kiểm định H3):</w:t>
      </w:r>
      <w:r>
        <w:t xml:space="preserve"> </w:t>
      </w:r>
      <w:r>
        <w:t xml:space="preserve">lnNSLD_i = α + β₁ CDDXK_c + β₂ CDDXK_c² + β₃ NLCN_z + β₄ CSS_z</w:t>
      </w:r>
      <w:r>
        <w:t xml:space="preserve"> </w:t>
      </w:r>
      <w:r>
        <w:t xml:space="preserve">+ β₅(CDDXK_c × CSS_z) + β₆(CDDXK_c² × CSS_z) + γ·X + δ_s + ε</w:t>
      </w:r>
      <w:r>
        <w:t xml:space="preserve"> </w:t>
      </w:r>
      <w:r>
        <w:t xml:space="preserve">H3: β₆ &gt; 0, DAI khuếch đại lợi nhuận I–P ở cường độ xuất khẩu cao (coordination platform mechanism; Stallkamp &amp; Schotter, 2021)</w:t>
      </w:r>
      <w:r>
        <w:t xml:space="preserve"> </w:t>
      </w:r>
      <w:r>
        <w:t xml:space="preserve">Kết quả: β₆ = +3,119 (p = 0,005) trong mẫu đầy đủ; β₆ = +2,821 (p = 0,003, F-test) trong mẫu chỉ xuất khẩu (N = 84, lưu ý: công suất thống kê ≈ 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 —</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5"/>
    <w:bookmarkStart w:id="46"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2.619; 2024: N = 1.940; pooled N = 4.559). Thiết kế đa sóng không panel (217 doanh nghiệp xuất hiện cả hai sóng tạo thành</w:t>
      </w:r>
      <w:r>
        <w:t xml:space="preserve"> </w:t>
      </w:r>
      <w:r>
        <w:t xml:space="preserve">“</w:t>
      </w:r>
      <w:r>
        <w:t xml:space="preserve">panel core</w:t>
      </w:r>
      <w:r>
        <w:t xml:space="preserve">”</w:t>
      </w:r>
      <w:r>
        <w:t xml:space="preserve"> </w:t>
      </w:r>
      <w:r>
        <w:t xml:space="preserve">được sử dụng cho cluster-robust SE).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P3</w:t>
      </w:r>
    </w:p>
    <w:p>
      <w:pPr>
        <w:numPr>
          <w:ilvl w:val="0"/>
          <w:numId w:val="1005"/>
        </w:numPr>
        <w:pStyle w:val="Compact"/>
      </w:pPr>
      <w:r>
        <w:rPr>
          <w:bCs/>
          <w:b/>
        </w:rPr>
        <w:t xml:space="preserve">CSS_z_it</w:t>
      </w:r>
      <w:r>
        <w:t xml:space="preserve"> </w:t>
      </w:r>
      <w:r>
        <w:t xml:space="preserve">= DAI_core_it: chỉ số số hoá cơ bản, chỉ c22b₀₁ (Tier-1 mỏng, single-item binary)</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sector fixed effects;</w:t>
      </w:r>
      <w:r>
        <w:t xml:space="preserve"> </w:t>
      </w:r>
      <w:r>
        <w:rPr>
          <w:bCs/>
          <w:b/>
        </w:rPr>
        <w:t xml:space="preserve">λ_t</w:t>
      </w:r>
      <w:r>
        <w:t xml:space="preserve">: wave fixed effects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 β₁ CDDXK_c_it + γ·X_it + δ_s + λ_t + ε_it</w:t>
      </w:r>
    </w:p>
    <w:p>
      <w:pPr>
        <w:pStyle w:val="BlockText"/>
      </w:pPr>
      <w:r>
        <w:t xml:space="preserve">M2 (Bậc hai FSTS, kiểm định H1):</w:t>
      </w:r>
      <w:r>
        <w:t xml:space="preserve"> </w:t>
      </w:r>
      <w:r>
        <w:t xml:space="preserve">lnNSLD_it = α + β₁ CDDXK_c_it + β₂ CDDXK_c²_it + γ·X_it + δ_s + λ_t + ε_it</w:t>
      </w:r>
      <w:r>
        <w:t xml:space="preserve"> </w:t>
      </w:r>
      <w:r>
        <w:t xml:space="preserve">H1: β₁ &gt; 0, β₂ &lt; 0; TP* = −β₁/(2β₂), điểm uốn 49,4% (2012), 47,2% (2024), và 48,8% (pooled)</w:t>
      </w:r>
      <w:r>
        <w:t xml:space="preserve"> </w:t>
      </w:r>
      <w:r>
        <w:t xml:space="preserve">Kiểm định ổn định cấu trúc: Paternoster (1998) z-test: z(FSTS) = +0,82 (p = 0,412); z(FSTS²) = −0,61 (p = 0,545) sang không bác bỏ bình đẳng hệ số giữa hai sóng</w:t>
      </w:r>
    </w:p>
    <w:p>
      <w:pPr>
        <w:pStyle w:val="BlockText"/>
      </w:pPr>
      <w:r>
        <w:t xml:space="preserve">M3 (+ NLCN trực tiếp, H2 level-shift):</w:t>
      </w:r>
      <w:r>
        <w:t xml:space="preserve"> </w:t>
      </w:r>
      <w:r>
        <w:t xml:space="preserve">lnNSLD_it = α + β₁ CDDXK_c + β₂ CDDXK_c² + β₃ NLCN_z + γ·X + δ_s + λ_t + ε</w:t>
      </w:r>
      <w:r>
        <w:t xml:space="preserve"> </w:t>
      </w:r>
      <w:r>
        <w:t xml:space="preserve">Kết quả: β₃ = +0,28 (2012, p &lt; 0,001), +0,43 (2024, p &lt; 0,001), TCI là</w:t>
      </w:r>
      <w:r>
        <w:t xml:space="preserve"> </w:t>
      </w:r>
      <w:r>
        <w:t xml:space="preserve">“</w:t>
      </w:r>
      <w:r>
        <w:t xml:space="preserve">bộ tăng mức</w:t>
      </w:r>
      <w:r>
        <w:t xml:space="preserve">”</w:t>
      </w:r>
      <w:r>
        <w:t xml:space="preserve"> </w:t>
      </w:r>
      <w:r>
        <w:t xml:space="preserve">(level-shifter), không điều tiết độ cong</w:t>
      </w:r>
    </w:p>
    <w:p>
      <w:pPr>
        <w:pStyle w:val="BlockText"/>
      </w:pPr>
      <w:r>
        <w:t xml:space="preserve">M4 (+ CSS trực tiếp):</w:t>
      </w:r>
      <w:r>
        <w:t xml:space="preserve"> </w:t>
      </w:r>
      <w:r>
        <w:t xml:space="preserve">lnNSLD_it = α + β₁ CDDXK_c + β₂ CDDXK_c² + β₃ NLCN_z + β₄ CSS_z + γ·X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w:r>
        <w:t xml:space="preserve">z = (β̂₁,2012 − β̂₁,2024) / √(SE²₁,2012 + SE²₁,2024)</w:t>
      </w:r>
      <w:r>
        <w:t xml:space="preserve"> </w:t>
      </w:r>
      <w:r>
        <w:t xml:space="preserve">(Paternoster et al., 1998), tương tự cho β₂ (FSTS²)</w:t>
      </w:r>
    </w:p>
    <w:p>
      <w:pPr>
        <w:pStyle w:val="BlockText"/>
      </w:pPr>
      <w:r>
        <w:t xml:space="preserve">M6 (Điều tiết ba chiều, kiểm định H3/H4a/H4b):</w:t>
      </w:r>
      <w:r>
        <w:t xml:space="preserve"> </w:t>
      </w:r>
      <w:r>
        <w:t xml:space="preserve">lnNSLD_it = α + β₁ CDDXK_c + β₂ CDDXK_c² + β₃ NLCN_z + β₄ CSS_z</w:t>
      </w:r>
      <w:r>
        <w:t xml:space="preserve"> </w:t>
      </w:r>
      <w:r>
        <w:t xml:space="preserve">+ β₅(CDDXK_c × NLCN_z) + β₆(CDDXK_c² × NLCN_z)</w:t>
      </w:r>
      <w:r>
        <w:t xml:space="preserve"> </w:t>
      </w:r>
      <w:r>
        <w:t xml:space="preserve">+ β₇(CDDXK_c × wave) + β₈(CDDXK_c² × wave) + γ·X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sang H4b (null capability-curvature moderation)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 —</w:t>
            </w:r>
            <w:r>
              <w:t xml:space="preserve"> </w:t>
            </w:r>
            <w:r>
              <w:rPr>
                <w:bCs/>
                <w:b/>
              </w:rPr>
              <w:t xml:space="preserve">Tier-1 đơn biến</w:t>
            </w:r>
            <w:r>
              <w:t xml:space="preserve"> </w:t>
            </w:r>
            <w:r>
              <w:t xml:space="preserve">(binary)</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sector</w:t>
            </w:r>
          </w:p>
        </w:tc>
        <w:tc>
          <w:tcPr/>
          <w:p>
            <w:pPr>
              <w:pStyle w:val="Compact"/>
              <w:jc w:val="left"/>
            </w:pPr>
            <w:r>
              <w:t xml:space="preserve">Sector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 (2012/2024)</w:t>
            </w:r>
          </w:p>
        </w:tc>
        <w:tc>
          <w:tcPr/>
          <w:p>
            <w:pPr>
              <w:pStyle w:val="Compact"/>
              <w:jc w:val="left"/>
            </w:pPr>
            <w:r>
              <w:t xml:space="preserve">Wave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w:t>
      </w:r>
      <w:r>
        <w:rPr>
          <w:iCs/>
          <w:i/>
        </w:rPr>
        <w:t xml:space="preserve">“</w:t>
      </w:r>
      <w:r>
        <w:rPr>
          <w:iCs/>
          <w:i/>
        </w:rPr>
        <w:t xml:space="preserve">panel core</w:t>
      </w:r>
      <w:r>
        <w:rPr>
          <w:iCs/>
          <w:i/>
        </w:rPr>
        <w:t xml:space="preserve">”</w:t>
      </w:r>
      <w:r>
        <w:rPr>
          <w:iCs/>
          <w:i/>
        </w:rPr>
        <w:t xml:space="preserve">) tạo thêm nhận dạng biến thiên trong mẫu trong khi clustered SE theo idstd xử lý tương quan nội nhóm. DAI Trung Quốc chỉ là Tier-1 đơn biến, không đủ để kiểm định CDCM; hàm ý chính sách và lý thuyết khác với P4 Singapore (Tier-1+2).</w:t>
      </w:r>
    </w:p>
    <w:p>
      <w:r>
        <w:pict>
          <v:rect style="width:0;height:1.5pt" o:hralign="center" o:hrstd="t" o:hr="t"/>
        </w:pict>
      </w:r>
    </w:p>
    <w:bookmarkEnd w:id="46"/>
    <w:bookmarkStart w:id="49" w:name="Xef1ee77b66ccd9962e55365d60bd74be93a9b17"/>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50 nền kinh tế châu Á và Thái Bình Dương</w:t>
      </w:r>
      <w:r>
        <w:t xml:space="preserve"> </w:t>
      </w:r>
      <w:r>
        <w:t xml:space="preserve">(103 cặp nền kinh tế × năm, 2006–2026, gồm Nhật Bản 2025). Mẫu phân tích đạt N = 81.022 (M2) đến N = 79.080 (M5 với kiểm soát đầy đủ). Thiết kế hồi quy hiệu ứng cố định hai chiều (nền kinh tế và năm) với sai số chuẩn cụm theo nền kinh tế.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mean-centred, FSTS_c = (d3c/100) − mean_pool(FSTS)</w:t>
      </w:r>
    </w:p>
    <w:p>
      <w:pPr>
        <w:numPr>
          <w:ilvl w:val="0"/>
          <w:numId w:val="1006"/>
        </w:numPr>
        <w:pStyle w:val="Compact"/>
      </w:pPr>
      <w:r>
        <w:rPr>
          <w:bCs/>
          <w:b/>
        </w:rPr>
        <w:t xml:space="preserve">CDDXK_c²_it</w:t>
      </w:r>
      <w:r>
        <w:t xml:space="preserve">: CDDXK_c bình phương, kiểm định phi tuyến</w:t>
      </w:r>
    </w:p>
    <w:p>
      <w:pPr>
        <w:numPr>
          <w:ilvl w:val="0"/>
          <w:numId w:val="1006"/>
        </w:numPr>
        <w:pStyle w:val="Compact"/>
      </w:pPr>
      <w:r>
        <w:rPr>
          <w:bCs/>
          <w:b/>
        </w:rPr>
        <w:t xml:space="preserve">NLCN_z_it</w:t>
      </w:r>
      <w:r>
        <w:t xml:space="preserve">: năng lực công nghệ z-standardised, TCI_z = z-std(b8, e6)</w:t>
      </w:r>
    </w:p>
    <w:p>
      <w:pPr>
        <w:numPr>
          <w:ilvl w:val="0"/>
          <w:numId w:val="1006"/>
        </w:numPr>
        <w:pStyle w:val="Compact"/>
      </w:pPr>
      <w:r>
        <w:rPr>
          <w:bCs/>
          <w:b/>
        </w:rPr>
        <w:t xml:space="preserve">CSS_z_it</w:t>
      </w:r>
      <w:r>
        <w:t xml:space="preserve">: chỉ số số hoá z-standardised, DAI_z = z-std(website + e-pay,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top manager là nữ (binary, b7a/b6a)</w:t>
      </w:r>
    </w:p>
    <w:p>
      <w:pPr>
        <w:numPr>
          <w:ilvl w:val="0"/>
          <w:numId w:val="1006"/>
        </w:numPr>
        <w:pStyle w:val="Compact"/>
      </w:pPr>
      <w:r>
        <w:rPr>
          <w:bCs/>
          <w:b/>
        </w:rPr>
        <w:t xml:space="preserve">ICRV_j</w:t>
      </w:r>
      <w:r>
        <w:t xml:space="preserve">: phân loại chế độ thể chế ICRV (integer 1–6, Advanced sang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country × year fixed effects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baseline):</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677</m:t>
          </m:r>
          <m:r>
            <m:rPr>
              <m:sty m:val="p"/>
            </m:rPr>
            <m:t>;</m:t>
          </m:r>
          <m:r>
            <m:t> </m:t>
          </m:r>
          <m:r>
            <m:t>T</m:t>
          </m:r>
          <m:r>
            <m:t>P</m:t>
          </m:r>
          <m:r>
            <m:rPr>
              <m:sty m:val="p"/>
            </m:rPr>
            <m:t>≈</m:t>
          </m:r>
          <m:r>
            <m:t>40</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kiểm định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185</m:t>
              </m:r>
            </m:e>
            <m:sup>
              <m:r>
                <m:rPr>
                  <m:sty m:val="p"/>
                </m:rPr>
                <m:t>*</m:t>
              </m:r>
              <m:r>
                <m:rPr>
                  <m:sty m:val="p"/>
                </m:rPr>
                <m:t>*</m:t>
              </m:r>
              <m:r>
                <m:rPr>
                  <m:sty m:val="p"/>
                </m:rPr>
                <m:t>*</m:t>
              </m:r>
            </m:sup>
          </m:sSup>
          <m:r>
            <m:rPr>
              <m:nor/>
              <m:sty m:val="p"/>
            </m:rPr>
            <m:t> (top manager nữ: lợi thế hiệu quả  17–20%cross-context)</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r>
            <m:t>T</m:t>
          </m:r>
          <m:r>
            <m:t>P</m:t>
          </m:r>
          <m:r>
            <m:rPr>
              <m:nor/>
              <m:sty m:val="p"/>
            </m:rPr>
            <m:t> tăng khi ICRV tăng (thể chế yếu hơn): Group I</m:t>
          </m:r>
          <m:r>
            <m:rPr>
              <m:sty m:val="p"/>
            </m:rPr>
            <m:t>≈</m:t>
          </m:r>
          <m:r>
            <m:t>28</m:t>
          </m:r>
          <m:r>
            <m:rPr>
              <m:sty m:val="p"/>
            </m:rPr>
            <m:t>%</m:t>
          </m:r>
          <m:r>
            <m:rPr>
              <m:sty m:val="p"/>
            </m:rPr>
            <m:t>,</m:t>
          </m:r>
          <m:r>
            <m:t> </m:t>
          </m:r>
          <m:r>
            <m:rPr>
              <m:nor/>
              <m:sty m:val="p"/>
            </m:rPr>
            <m:t>Group V–VI</m:t>
          </m:r>
          <m:r>
            <m:rPr>
              <m:sty m:val="p"/>
            </m:rPr>
            <m:t>≈</m:t>
          </m:r>
          <m:r>
            <m:t>55</m:t>
          </m:r>
          <m:r>
            <m:rPr>
              <m:sty m:val="p"/>
            </m:rPr>
            <m:t>%</m:t>
          </m:r>
        </m:oMath>
      </m:oMathPara>
    </w:p>
    <w:p>
      <w:pPr>
        <w:pStyle w:val="FirstParagraph"/>
      </w:pPr>
      <w:r>
        <w:rPr>
          <w:bCs/>
          <w:b/>
        </w:rPr>
        <w:t xml:space="preserve">M11</w:t>
      </w:r>
      <w:r>
        <w:t xml:space="preserve"> </w:t>
      </w:r>
      <w:r>
        <w:t xml:space="preserve">(full three-way, kiểm định tương tác tổng hợp ba chiều, tổng hợp H3 và H5; P7):</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012</m:t>
              </m:r>
            </m:e>
            <m:sup>
              <m:r>
                <m:rPr>
                  <m:sty m:val="p"/>
                </m:rPr>
                <m:t>*</m:t>
              </m:r>
            </m:sup>
          </m:sSup>
          <m:r>
            <m:rPr>
              <m:sty m:val="p"/>
            </m:rPr>
            <m:t>;</m:t>
          </m:r>
          <m:r>
            <m:t> </m:t>
          </m:r>
          <m:r>
            <m:rPr>
              <m:nor/>
              <m:sty m:val="p"/>
            </m:rPr>
            <m:t>three-way NS</m:t>
          </m:r>
          <m:r>
            <m:rPr>
              <m:sty m:val="p"/>
            </m:rPr>
            <m:t>;</m:t>
          </m:r>
          <m:r>
            <m:t> </m:t>
          </m:r>
          <m:r>
            <m:t>T</m:t>
          </m:r>
          <m:r>
            <m:t>P</m:t>
          </m:r>
          <m:r>
            <m:rPr>
              <m:sty m:val="p"/>
            </m:rPr>
            <m:t>=</m:t>
          </m:r>
          <m:r>
            <m:t>34</m:t>
          </m:r>
          <m:r>
            <m:rPr>
              <m:sty m:val="p"/>
            </m:rPr>
            <m:t>,</m:t>
          </m:r>
          <m:r>
            <m:t>6</m:t>
          </m:r>
          <m:r>
            <m:rPr>
              <m:sty m:val="p"/>
            </m:rPr>
            <m:t>%</m:t>
          </m:r>
          <m:r>
            <m:rPr>
              <m:sty m:val="p"/>
            </m:rPr>
            <m:t>,</m:t>
          </m:r>
          <m:r>
            <m:t> </m:t>
          </m:r>
          <m:r>
            <m:rPr>
              <m:nor/>
              <m:sty m:val="p"/>
            </m:rPr>
            <m:t>LM </m:t>
          </m:r>
          <m:r>
            <m:t>p</m:t>
          </m:r>
          <m:r>
            <m:rPr>
              <m:sty m:val="p"/>
            </m:rPr>
            <m:t>=</m:t>
          </m:r>
          <m:r>
            <m:rPr>
              <m:sty m:val="p"/>
            </m:rPr>
            <m:t>,</m:t>
          </m:r>
          <m:r>
            <m:t>002</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e-payment):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(Advanced Innovation→SIDS)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country × year FE</w:t>
            </w:r>
          </w:p>
        </w:tc>
        <w:tc>
          <w:tcPr/>
          <w:p>
            <w:pPr>
              <w:pStyle w:val="Compact"/>
              <w:jc w:val="left"/>
            </w:pPr>
            <w:r>
              <w:t xml:space="preserve">Fixed effects</w:t>
            </w:r>
          </w:p>
        </w:tc>
      </w:tr>
    </w:tbl>
    <w:p>
      <w:pPr>
        <w:pStyle w:val="BodyText"/>
      </w:pPr>
      <w:r>
        <w:rPr>
          <w:iCs/>
          <w:i/>
        </w:rPr>
        <w:t xml:space="preserve">Ghi chú: Mẫu phân tích giảm nhẹ từ N = 81.022 (M2) xuống 79.080 (M5, thêm kiểm soát); các mô hình điều tiết M7, M8 và M10 giữ N tương đương 79.080–79.220. DAI P7 là Tier 1+2 khi k33 có mặt, Tier-1 only khi thiếu, khác với P3 Vietnam (Tier-1 only) và đồng nhất với P4 Singapore (Tier-1+2). ICRV là biến điều tiết liên tục (integer), không phải dummies, nhằm giữ N đủ lớn trong M10–M11.</w:t>
      </w:r>
    </w:p>
    <w:p>
      <w:r>
        <w:pict>
          <v:rect style="width:0;height:1.5pt" o:hralign="center" o:hrstd="t" o:hr="t"/>
        </w:pict>
      </w:r>
    </w:p>
    <w:bookmarkStart w:id="47" w:name="X2f7897a1357dc715f37e320d2cca3ed5f2bb32c"/>
    <w:p>
      <w:pPr>
        <w:pStyle w:val="Heading4"/>
      </w:pPr>
      <w:r>
        <w:t xml:space="preserve">3.4.5.5 Mô hình cụ thể: Nghiên cứu 8: Pacific SIDS (N = 959, Nhóm VI)</w:t>
      </w:r>
    </w:p>
    <w:p>
      <w:pPr>
        <w:pStyle w:val="FirstParagraph"/>
      </w:pPr>
      <w:r>
        <w:t xml:space="preserve">Nghiên cứu 8 phân tích mẫu gồm</w:t>
      </w:r>
      <w:r>
        <w:t xml:space="preserve"> </w:t>
      </w:r>
      <w:r>
        <w:rPr>
          <w:bCs/>
          <w:b/>
        </w:rPr>
        <w:t xml:space="preserve">N = 959 doanh nghiệp</w:t>
      </w:r>
      <w:r>
        <w:t xml:space="preserve"> </w:t>
      </w:r>
      <w:r>
        <w:t xml:space="preserve">tại</w:t>
      </w:r>
      <w:r>
        <w:t xml:space="preserve"> </w:t>
      </w:r>
      <w:r>
        <w:rPr>
          <w:bCs/>
          <w:b/>
        </w:rPr>
        <w:t xml:space="preserve">7 nền kinh tế Pacific SIDS</w:t>
      </w:r>
      <w:r>
        <w:t xml:space="preserve"> </w:t>
      </w:r>
      <w:r>
        <w:t xml:space="preserve">(Fiji, Kiribati, Papua New Guinea, Samoa, Solomon Islands, Tonga, Vanuatu)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132 doanh nghiệp có hoạt động xuất khẩu</w:t>
      </w:r>
      <w:r>
        <w:t xml:space="preserve"> </w:t>
      </w:r>
      <w:r>
        <w:t xml:space="preserve">(13,8%),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P3–P7. Lind–Mehlum U-test không bác bỏ đơn điệu (p &gt; ,10), xác nhận không có điểm quay.</w:t>
      </w:r>
    </w:p>
    <w:p>
      <w:pPr>
        <w:pStyle w:val="BodyText"/>
      </w:pPr>
      <w:r>
        <w:rPr>
          <w:bCs/>
          <w:b/>
        </w:rPr>
        <w:t xml:space="preserve">Ký hiệu biến (tiếng Việt ↔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CDDXK_c²</w:t>
            </w:r>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binary):</w:t>
            </w:r>
            <w:r>
              <w:t xml:space="preserve"> </w:t>
            </w:r>
            <w:r>
              <w:rPr>
                <w:bCs/>
                <w:b/>
              </w:rPr>
              <w:t xml:space="preserve">chỉ Tier-1, không dynamic</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Country fixed effects</w:t>
            </w:r>
          </w:p>
        </w:tc>
        <w:tc>
          <w:tcPr/>
          <w:p>
            <w:pPr>
              <w:pStyle w:val="Compact"/>
              <w:jc w:val="left"/>
            </w:pPr>
            <w:r>
              <w:t xml:space="preserve">a3b</w:t>
            </w:r>
          </w:p>
        </w:tc>
        <w:tc>
          <w:tcPr/>
          <w:p>
            <w:pPr>
              <w:pStyle w:val="Compact"/>
              <w:jc w:val="left"/>
            </w:pPr>
            <w:r>
              <w:t xml:space="preserve">dummy theo quốc gia</w:t>
            </w:r>
          </w:p>
        </w:tc>
      </w:tr>
      <w:tr>
        <w:tc>
          <w:tcPr/>
          <w:p>
            <w:pPr>
              <w:pStyle w:val="Compact"/>
              <w:jc w:val="left"/>
            </w:pPr>
            <w:r>
              <w:t xml:space="preserve">λ_t</w:t>
            </w:r>
          </w:p>
        </w:tc>
        <w:tc>
          <w:tcPr/>
          <w:p>
            <w:pPr>
              <w:pStyle w:val="Compact"/>
              <w:jc w:val="left"/>
            </w:pPr>
            <w:r>
              <w:t xml:space="preserve">Wave fixed effects</w:t>
            </w:r>
          </w:p>
        </w:tc>
        <w:tc>
          <w:tcPr/>
          <w:p>
            <w:pPr>
              <w:pStyle w:val="Compact"/>
              <w:jc w:val="left"/>
            </w:pPr>
            <w:r>
              <w:t xml:space="preserve">wave</w:t>
            </w:r>
          </w:p>
        </w:tc>
        <w:tc>
          <w:tcPr/>
          <w:p>
            <w:pPr>
              <w:pStyle w:val="Compact"/>
              <w:jc w:val="left"/>
            </w:pPr>
            <w:r>
              <w:t xml:space="preserve">dummy theo sóng điều tra</w:t>
            </w:r>
          </w:p>
        </w:tc>
      </w:tr>
    </w:tbl>
    <w:p>
      <w:pPr>
        <w:pStyle w:val="BodyText"/>
      </w:pPr>
      <w:r>
        <w:rPr>
          <w:iCs/>
          <w:i/>
        </w:rPr>
        <w:t xml:space="preserve">Ghi chú: CSS_z (DAI) là proxy tĩnh Tier-1 (website binary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(P8):</w:t>
      </w:r>
    </w:p>
    <w:p>
      <w:pPr>
        <w:pStyle w:val="BodyText"/>
      </w:pPr>
      <w:r>
        <w:t xml:space="preserve">M0, Baseline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1</m:t>
          </m:r>
          <m:r>
            <m:rPr>
              <m:sty m:val="p"/>
            </m:rPr>
            <m:t>,</m:t>
          </m:r>
          <m:r>
            <m:t>339</m:t>
          </m:r>
          <m:r>
            <m:rPr>
              <m:sty m:val="p"/>
            </m:rPr>
            <m:t>,</m:t>
          </m:r>
          <m:r>
            <m:t> </m:t>
          </m:r>
          <m:r>
            <m:t>p</m:t>
          </m:r>
          <m:r>
            <m:rPr>
              <m:sty m:val="p"/>
            </m:rPr>
            <m:t>&lt;</m:t>
          </m:r>
          <m:r>
            <m:rPr>
              <m:sty m:val="p"/>
            </m:rPr>
            <m:t>,</m:t>
          </m:r>
          <m:r>
            <m:t>001</m:t>
          </m:r>
          <m:r>
            <m:t> </m:t>
          </m:r>
          <m:d>
            <m:dPr>
              <m:begChr m:val="("/>
              <m:endChr m:val=")"/>
              <m:sepChr m:val=""/>
              <m:grow/>
            </m:dPr>
            <m:e>
              <m:r>
                <m:rPr>
                  <m:nor/>
                  <m:sty m:val="p"/>
                </m:rPr>
                <m:t>country+year FE, N</m:t>
              </m:r>
              <m:r>
                <m:rPr>
                  <m:sty m:val="p"/>
                </m:rPr>
                <m:t>=</m:t>
              </m:r>
              <m:r>
                <m:t>959</m:t>
              </m:r>
            </m:e>
          </m:d>
          <m:r>
            <m:rPr>
              <m:sty m:val="p"/>
            </m:rPr>
            <m:t>⇒</m:t>
          </m:r>
          <m:r>
            <m:rPr>
              <m:nor/>
              <m:sty m:val="b"/>
            </m:rPr>
            <m:t>FIP xác nhận</m:t>
          </m:r>
        </m:oMath>
      </m:oMathPara>
    </w:p>
    <w:p>
      <w:pPr>
        <w:pStyle w:val="FirstParagraph"/>
      </w:pPr>
      <w:r>
        <w:t xml:space="preserve">M2, Kiểm định phi tuyến: thêm CDDXK_c²</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003</m:t>
          </m:r>
          <m:r>
            <m:t> </m:t>
          </m:r>
          <m:d>
            <m:dPr>
              <m:begChr m:val="("/>
              <m:endChr m:val=")"/>
              <m:sepChr m:val=""/>
              <m:grow/>
            </m:dPr>
            <m:e>
              <m:r>
                <m:rPr>
                  <m:nor/>
                  <m:sty m:val="p"/>
                </m:rPr>
                <m:t>dương, có ý nghĩa</m:t>
              </m:r>
            </m:e>
          </m:d>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285</m:t>
          </m:r>
          <m:r>
            <m:t> </m:t>
          </m:r>
          <m:r>
            <m:rPr>
              <m:nor/>
              <m:sty m:val="p"/>
            </m:rPr>
            <m:t>NS</m:t>
          </m:r>
          <m:r>
            <m:rPr>
              <m:sty m:val="p"/>
            </m:rPr>
            <m:t>⇒</m:t>
          </m:r>
          <m:r>
            <m:rPr>
              <m:nor/>
              <m:sty m:val="p"/>
            </m:rPr>
            <m:t>TCI nâng mặt bằng năng suất; không có biến điều tiết uốn đường cong (H2 moderation null)</m:t>
          </m:r>
        </m:oMath>
      </m:oMathPara>
    </w:p>
    <w:p>
      <w:pPr>
        <w:pStyle w:val="FirstParagraph"/>
      </w:pPr>
      <w:r>
        <w:rPr>
          <w:bCs/>
          <w:b/>
        </w:rPr>
        <w:t xml:space="preserve">Phân tích độ vững (kiểm tra độ vững):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959)</w:t>
            </w:r>
          </w:p>
        </w:tc>
        <w:tc>
          <w:tcPr/>
          <w:p>
            <w:pPr>
              <w:pStyle w:val="Compact"/>
              <w:jc w:val="left"/>
            </w:pPr>
            <w:r>
              <w:t xml:space="preserve">−1,339</w:t>
            </w:r>
          </w:p>
        </w:tc>
        <w:tc>
          <w:tcPr/>
          <w:p>
            <w:pPr>
              <w:pStyle w:val="Compact"/>
              <w:jc w:val="left"/>
            </w:pPr>
            <w:r>
              <w:t xml:space="preserve">0,386</w:t>
            </w:r>
          </w:p>
        </w:tc>
        <w:tc>
          <w:tcPr/>
          <w:p>
            <w:pPr>
              <w:pStyle w:val="Compact"/>
              <w:jc w:val="left"/>
            </w:pPr>
            <w:r>
              <w:t xml:space="preserve">&lt; ,001</w:t>
            </w:r>
          </w:p>
        </w:tc>
      </w:tr>
      <w:tr>
        <w:tc>
          <w:tcPr/>
          <w:p>
            <w:pPr>
              <w:pStyle w:val="Compact"/>
              <w:jc w:val="left"/>
            </w:pPr>
            <w:r>
              <w:t xml:space="preserve">Year FE only (không country FE)</w:t>
            </w:r>
          </w:p>
        </w:tc>
        <w:tc>
          <w:tcPr/>
          <w:p>
            <w:pPr>
              <w:pStyle w:val="Compact"/>
              <w:jc w:val="left"/>
            </w:pPr>
            <w:r>
              <w:t xml:space="preserve">−3,351</w:t>
            </w:r>
          </w:p>
        </w:tc>
        <w:tc>
          <w:tcPr/>
          <w:p>
            <w:pPr>
              <w:pStyle w:val="Compact"/>
              <w:jc w:val="left"/>
            </w:pPr>
            <w:r>
              <w:t xml:space="preserve">0,808</w:t>
            </w:r>
          </w:p>
        </w:tc>
        <w:tc>
          <w:tcPr/>
          <w:p>
            <w:pPr>
              <w:pStyle w:val="Compact"/>
              <w:jc w:val="left"/>
            </w:pPr>
            <w:r>
              <w:t xml:space="preserve">&lt; ,001</w:t>
            </w:r>
          </w:p>
        </w:tc>
      </w:tr>
      <w:tr>
        <w:tc>
          <w:tcPr/>
          <w:p>
            <w:pPr>
              <w:pStyle w:val="Compact"/>
              <w:jc w:val="left"/>
            </w:pPr>
            <w:r>
              <w:t xml:space="preserve">Bivariate (không controls)</w:t>
            </w:r>
          </w:p>
        </w:tc>
        <w:tc>
          <w:tcPr/>
          <w:p>
            <w:pPr>
              <w:pStyle w:val="Compact"/>
              <w:jc w:val="left"/>
            </w:pPr>
            <w:r>
              <w:t xml:space="preserve">−0,864</w:t>
            </w:r>
          </w:p>
        </w:tc>
        <w:tc>
          <w:tcPr/>
          <w:p>
            <w:pPr>
              <w:pStyle w:val="Compact"/>
              <w:jc w:val="left"/>
            </w:pPr>
            <w:r>
              <w:t xml:space="preserve">0,441</w:t>
            </w:r>
          </w:p>
        </w:tc>
        <w:tc>
          <w:tcPr/>
          <w:p>
            <w:pPr>
              <w:pStyle w:val="Compact"/>
              <w:jc w:val="left"/>
            </w:pPr>
            <w:r>
              <w:t xml:space="preserve">,050</w:t>
            </w:r>
          </w:p>
        </w:tc>
      </w:tr>
      <w:tr>
        <w:tc>
          <w:tcPr/>
          <w:p>
            <w:pPr>
              <w:pStyle w:val="Compact"/>
              <w:jc w:val="left"/>
            </w:pPr>
            <w:r>
              <w:t xml:space="preserve">Exporters-only (N = 26)</w:t>
            </w:r>
          </w:p>
        </w:tc>
        <w:tc>
          <w:tcPr/>
          <w:p>
            <w:pPr>
              <w:pStyle w:val="Compact"/>
              <w:jc w:val="left"/>
            </w:pPr>
            <w:r>
              <w:t xml:space="preserve">−1,176</w:t>
            </w:r>
          </w:p>
        </w:tc>
        <w:tc>
          <w:tcPr/>
          <w:p>
            <w:pPr>
              <w:pStyle w:val="Compact"/>
              <w:jc w:val="left"/>
            </w:pPr>
            <w:r>
              <w:t xml:space="preserve">0,763</w:t>
            </w:r>
          </w:p>
        </w:tc>
        <w:tc>
          <w:tcPr/>
          <w:p>
            <w:pPr>
              <w:pStyle w:val="Compact"/>
              <w:jc w:val="left"/>
            </w:pPr>
            <w:r>
              <w:t xml:space="preserve">,130 (NS)</w:t>
            </w:r>
          </w:p>
        </w:tc>
      </w:tr>
    </w:tbl>
    <w:p>
      <w:pPr>
        <w:pStyle w:val="BodyText"/>
      </w:pPr>
      <w:r>
        <w:rPr>
          <w:iCs/>
          <w:i/>
        </w:rPr>
        <w:t xml:space="preserve">Hệ số âm nhất quán về dấu qua các specification; suy luận FIP dựa chủ yếu vào các mô hình fixed-effects (M1, year-FE), trong khi exporters-only (N=26) thiếu công suất thống kê.</w:t>
      </w:r>
    </w:p>
    <w:p>
      <w:pPr>
        <w:pStyle w:val="BodyText"/>
      </w:pPr>
      <w:r>
        <w:rPr>
          <w:bCs/>
          <w:b/>
        </w:rPr>
        <w:t xml:space="preserve">Bảng định nghĩa biến, Nghiên cứu 8 (SIDS)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binary): Tier-1 only</w:t>
            </w:r>
          </w:p>
        </w:tc>
        <w:tc>
          <w:tcPr/>
          <w:p>
            <w:pPr>
              <w:pStyle w:val="Compact"/>
              <w:jc w:val="left"/>
            </w:pPr>
            <w:r>
              <w:t xml:space="preserve">Số hoá —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FE</w:t>
            </w:r>
          </w:p>
        </w:tc>
        <w:tc>
          <w:tcPr/>
          <w:p>
            <w:pPr>
              <w:pStyle w:val="Compact"/>
              <w:jc w:val="left"/>
            </w:pPr>
            <w:r>
              <w:t xml:space="preserve">Fixed effects</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7"/>
    <w:bookmarkStart w:id="48" w:name="X349648a9603de2a783df22f0baa1f04a5234db6"/>
    <w:p>
      <w:pPr>
        <w:pStyle w:val="Heading4"/>
      </w:pPr>
      <w:r>
        <w:t xml:space="preserve">3.4.5.6 Mô hình cụ thể, Nghiên cứu 9: Ấn Độ, độ bền ngưỡng qua chuyển đổi thể chế (P9)</w:t>
      </w:r>
    </w:p>
    <w:p>
      <w:pPr>
        <w:pStyle w:val="FirstParagraph"/>
      </w:pPr>
      <w:r>
        <w:t xml:space="preserve">Nghiên cứu 9 sử dụng ba đợt Khảo sát Doanh nghiệp Ngân hàng Thế giới cho Ấn Độ (2014 PICS3,</w:t>
      </w:r>
      <w:r>
        <w:t xml:space="preserve"> </w:t>
      </w:r>
      <m:oMath>
        <m:sSub>
          <m:e>
            <m:r>
              <m:t>N</m:t>
            </m:r>
          </m:e>
          <m:sub>
            <m:r>
              <m:t>p</m:t>
            </m:r>
            <m:r>
              <m:t>h</m:t>
            </m:r>
            <m:r>
              <m:t>â</m:t>
            </m:r>
            <m:r>
              <m:t>n</m:t>
            </m:r>
            <m:r>
              <m:t>t</m:t>
            </m:r>
            <m:r>
              <m:t>í</m:t>
            </m:r>
            <m:r>
              <m:t>c</m:t>
            </m:r>
            <m:r>
              <m:t>h</m:t>
            </m:r>
          </m:sub>
        </m:sSub>
        <m:r>
          <m:rPr>
            <m:sty m:val="p"/>
          </m:rPr>
          <m:t>=</m:t>
        </m:r>
        <m:r>
          <m:t>8.941</m:t>
        </m:r>
      </m:oMath>
      <w:r>
        <w:t xml:space="preserve">; 2022 BEE,</w:t>
      </w:r>
      <w:r>
        <w:t xml:space="preserve"> </w:t>
      </w:r>
      <m:oMath>
        <m:sSub>
          <m:e>
            <m:r>
              <m:t>N</m:t>
            </m:r>
          </m:e>
          <m:sub>
            <m:r>
              <m:t>p</m:t>
            </m:r>
            <m:r>
              <m:t>h</m:t>
            </m:r>
            <m:r>
              <m:t>â</m:t>
            </m:r>
            <m:r>
              <m:t>n</m:t>
            </m:r>
            <m:r>
              <m:t>t</m:t>
            </m:r>
            <m:r>
              <m:t>í</m:t>
            </m:r>
            <m:r>
              <m:t>c</m:t>
            </m:r>
            <m:r>
              <m:t>h</m:t>
            </m:r>
          </m:sub>
        </m:sSub>
        <m:r>
          <m:rPr>
            <m:sty m:val="p"/>
          </m:rPr>
          <m:t>=</m:t>
        </m:r>
        <m:r>
          <m:t>9.300</m:t>
        </m:r>
      </m:oMath>
      <w:r>
        <w:t xml:space="preserve">; 2025 BREADY,</w:t>
      </w:r>
      <w:r>
        <w:t xml:space="preserve"> </w:t>
      </w:r>
      <m:oMath>
        <m:sSub>
          <m:e>
            <m:r>
              <m:t>N</m:t>
            </m:r>
          </m:e>
          <m:sub>
            <m:r>
              <m:t>p</m:t>
            </m:r>
            <m:r>
              <m:t>h</m:t>
            </m:r>
            <m:r>
              <m:t>â</m:t>
            </m:r>
            <m:r>
              <m:t>n</m:t>
            </m:r>
            <m:r>
              <m:t>t</m:t>
            </m:r>
            <m:r>
              <m:t>í</m:t>
            </m:r>
            <m:r>
              <m:t>c</m:t>
            </m:r>
            <m:r>
              <m:t>h</m:t>
            </m:r>
          </m:sub>
        </m:sSub>
        <m:r>
          <m:rPr>
            <m:sty m:val="p"/>
          </m:rPr>
          <m:t>=</m:t>
        </m:r>
        <m:r>
          <m:t>10.476</m:t>
        </m:r>
      </m:oMath>
      <w:r>
        <w:t xml:space="preserve">; mẫu gộp</w:t>
      </w:r>
      <w:r>
        <w:t xml:space="preserve"> </w:t>
      </w:r>
      <m:oMath>
        <m:r>
          <m:t>N</m:t>
        </m:r>
        <m:r>
          <m:rPr>
            <m:sty m:val="p"/>
          </m:rPr>
          <m:t>=</m:t>
        </m:r>
        <m:r>
          <m:t>28.717</m:t>
        </m:r>
      </m:oMath>
      <w:r>
        <w:t xml:space="preserve">), pool đơn quốc gia lớn nhất của luận án. Ấn Độ thuộc Nhóm III ICRV (Emerging); cửa sổ 2014–2025 bao trùm chuỗi cú sốc thể chế (bãi bỏ tiền mặt 2016, GST 2017, IBC 2016, UPI 2016, PLI và Atmanirbhar Bharat 2020, COVID-19), tạo điều kiện stress-test cho giả thuyết bền vững ngưỡng.</w:t>
      </w:r>
    </w:p>
    <w:p>
      <w:pPr>
        <w:pStyle w:val="BodyText"/>
      </w:pPr>
      <w:r>
        <w:t xml:space="preserve">Mô hình ước lượng OLS với sai số chuẩn vững HC1, gồm số hạng FSTS bậc nhất và bậc hai (centred theo đợt) cùng các tương tác năng lực (TCI, DAI). Ba kiểm định bổ sung: (i) Lind–Mehlum U-test xác nhận U ngược theo từng đợt; (ii) z-test Paternoster (1998) so sánh hệ số giữa 2014 và 2025 (cửa sổ 11 năm chính), báo cáo cả sai số chuẩn HC1 và cụm theo bang; (iii) đặc tả gộp ba đợt với biến giả/xu thế đợt khảo sát làm kiểm định độ vững. Việc UPI ra mắt tháng 4/2016 cung cấp thí nghiệm gần tự nhiên cho bão hòa DAI; riêng đợt 2025 (BREADY) bổ sung chỉ báo Tier-2 (</w:t>
      </w:r>
      <w:r>
        <w:rPr>
          <w:rStyle w:val="VerbatimChar"/>
        </w:rPr>
        <w:t xml:space="preserve">k33</w:t>
      </w:r>
      <w:r>
        <w:t xml:space="preserve">, tỷ trọng doanh thu qua thanh toán điện tử) cho phép kiểm định điều tiết DAI Tier-2, được xử lý như phân tích thăm dò vì chỉ có ở một đợt.</w:t>
      </w:r>
    </w:p>
    <w:bookmarkEnd w:id="48"/>
    <w:bookmarkEnd w:id="49"/>
    <w:bookmarkStart w:id="50" w:name="sai-số-chuẩn"/>
    <w:p>
      <w:pPr>
        <w:pStyle w:val="Heading3"/>
      </w:pPr>
      <w:r>
        <w:t xml:space="preserve">3.4.6 Sai số chuẩn</w:t>
      </w:r>
    </w:p>
    <w:p>
      <w:pPr>
        <w:pStyle w:val="FirstParagraph"/>
      </w:pPr>
      <w:r>
        <w:t xml:space="preserve">Tất cả các mô hình đều sử dụng HC1/HC3 robust standard errors (Long &amp; Ervin, 2000; White, 1980) để xử lý heteroscedasticity. Đối với multi-country, bổ sung clustered SE theo country.</w:t>
      </w:r>
    </w:p>
    <w:bookmarkEnd w:id="50"/>
    <w:bookmarkEnd w:id="51"/>
    <w:bookmarkStart w:id="58" w:name="kiểm-định-độ-vững"/>
    <w:p>
      <w:pPr>
        <w:pStyle w:val="Heading2"/>
      </w:pPr>
      <w:r>
        <w:t xml:space="preserve">3.5 Kiểm định độ vững</w:t>
      </w:r>
    </w:p>
    <w:bookmarkStart w:id="5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07"/>
        </w:numPr>
        <w:pStyle w:val="Compact"/>
      </w:pPr>
      <w:r>
        <w:t xml:space="preserve">Biến độc lập: thay FSTS bằng export status (binary), foreign sales count.</w:t>
      </w:r>
    </w:p>
    <w:p>
      <w:pPr>
        <w:numPr>
          <w:ilvl w:val="0"/>
          <w:numId w:val="1007"/>
        </w:numPr>
        <w:pStyle w:val="Compact"/>
      </w:pPr>
      <w:r>
        <w:t xml:space="preserve">Biến biến điều tiết: thay DAI_thin bằng DAI_rich (cho subset 2024+).</w:t>
      </w:r>
    </w:p>
    <w:bookmarkEnd w:id="52"/>
    <w:bookmarkStart w:id="53" w:name="mẫu-phụ"/>
    <w:p>
      <w:pPr>
        <w:pStyle w:val="Heading3"/>
      </w:pPr>
      <w:r>
        <w:t xml:space="preserve">3.5.2 Mẫu phụ</w:t>
      </w:r>
    </w:p>
    <w:p>
      <w:pPr>
        <w:pStyle w:val="FirstParagraph"/>
      </w:pPr>
      <w:r>
        <w:t xml:space="preserve">Loại trừ micro firms (&lt;5 lao động); chỉ giữ SMEs; chỉ giữ manufacturing; chỉ giữ exporters (FSTS &gt; 0); subgroup theo 6 sub-regime ICRV.</w:t>
      </w:r>
    </w:p>
    <w:bookmarkEnd w:id="53"/>
    <w:bookmarkStart w:id="54" w:name="outliers"/>
    <w:p>
      <w:pPr>
        <w:pStyle w:val="Heading3"/>
      </w:pPr>
      <w:r>
        <w:t xml:space="preserve">3.5.3 Outliers</w:t>
      </w:r>
    </w:p>
    <w:p>
      <w:pPr>
        <w:pStyle w:val="FirstParagraph"/>
      </w:pPr>
      <w:r>
        <w:t xml:space="preserve">Winsorization 1% và 5% đối với labor productivity và employment, áp dụng trong từng country-year.</w:t>
      </w:r>
    </w:p>
    <w:bookmarkEnd w:id="54"/>
    <w:bookmarkStart w:id="55" w:name="multicollinearity-và-heteroscedasticity"/>
    <w:p>
      <w:pPr>
        <w:pStyle w:val="Heading3"/>
      </w:pPr>
      <w:r>
        <w:t xml:space="preserve">3.5.4 Multicollinearity và heteroscedasticity</w:t>
      </w:r>
    </w:p>
    <w:p>
      <w:pPr>
        <w:numPr>
          <w:ilvl w:val="0"/>
          <w:numId w:val="1008"/>
        </w:numPr>
        <w:pStyle w:val="Compact"/>
      </w:pPr>
      <w:r>
        <w:t xml:space="preserve">VIF cho tất cả mô hình; ngưỡng VIF &lt; 5 (Hair et al., 2019).</w:t>
      </w:r>
    </w:p>
    <w:p>
      <w:pPr>
        <w:numPr>
          <w:ilvl w:val="0"/>
          <w:numId w:val="1008"/>
        </w:numPr>
        <w:pStyle w:val="Compact"/>
      </w:pPr>
      <w:r>
        <w:t xml:space="preserve">Breusch–Pagan test (Breusch &amp; Pagan, 1979).</w:t>
      </w:r>
    </w:p>
    <w:bookmarkEnd w:id="55"/>
    <w:bookmarkStart w:id="56" w:name="sensitivity-analysis-cho-meta-analysis"/>
    <w:p>
      <w:pPr>
        <w:pStyle w:val="Heading3"/>
      </w:pPr>
      <w:r>
        <w:t xml:space="preserve">3.5.5 Sensitivity analysis cho meta-analysis</w:t>
      </w:r>
    </w:p>
    <w:p>
      <w:pPr>
        <w:numPr>
          <w:ilvl w:val="0"/>
          <w:numId w:val="1009"/>
        </w:numPr>
        <w:pStyle w:val="Compact"/>
      </w:pPr>
      <w:r>
        <w:t xml:space="preserve">Leave-one-out: loại từng nghiên cứu và tái tính pooled effect.</w:t>
      </w:r>
    </w:p>
    <w:p>
      <w:pPr>
        <w:numPr>
          <w:ilvl w:val="0"/>
          <w:numId w:val="1009"/>
        </w:numPr>
        <w:pStyle w:val="Compact"/>
      </w:pPr>
      <w:r>
        <w:t xml:space="preserve">Trim-and-fill (Duval &amp; Tweedie, 2000) cho publication bias.</w:t>
      </w:r>
    </w:p>
    <w:bookmarkEnd w:id="56"/>
    <w:bookmarkStart w:id="57" w:name="X114450212317cc299784cfe2697e63e527f22c7"/>
    <w:p>
      <w:pPr>
        <w:pStyle w:val="Heading3"/>
      </w:pPr>
      <w:r>
        <w:t xml:space="preserve">3.5.6 Chiến lược nhận dạng và ranh giới suy luận nhân quả</w:t>
      </w:r>
    </w:p>
    <w:p>
      <w:pPr>
        <w:pStyle w:val="FirstParagraph"/>
      </w:pPr>
      <w:r>
        <w:t xml:space="preserve">Vì dữ liệu chủ đạo của luận án là lát cắt ngang lặp lại (repeated cross-sections) chứ không phải bảng cân bằng theo dõi cùng doanh nghiệp qua thời gian, luận án thừa nhận minh bạch các ranh giới suy luận và áp dụng một chiến lược nhận dạng nhiều lớp để củng cố tính giá trị nội tại trong giới hạn cho phép. Thứ nhất, mọi mô hình đa quốc gia đều bao gồm hiệu ứng cố định hai chiều (nền kinh tế và năm), qua đó hấp thụ toàn bộ thành phần bất biến theo nước (tiền tệ, mặt bằng giá, chế độ kế toán, đặc điểm thể chế ổn định) và các cú sốc chung theo năm; hệ số quan hệ I–P do đó được nhận dạng từ biến thiên nội bộ nền kinh tế–năm, không bị nhiễu bởi khác biệt cấu trúc cố định giữa các nước (Wooldridge, 2010). Thứ hai, ở các nghiên cứu đơn quốc gia, luận án bổ sung biến công cụ (instrumental variable) cho năng lực công nghệ, với các kiểm định độ mạnh công cụ (first-stage F) và over-identification phù hợp, nhằm tách hiệu ứng nhân quả khỏi nội sinh do lựa chọn và đồng thời (P3, P5). Thứ ba, độ ổn định của ước lượng trước thay đổi do biến bỏ sót được đánh giá bằng giới hạn δ-stability theo Oster (2019), một chuẩn mực ngày càng được áp dụng trong nghiên cứu thực nghiệm khi không có thiết kế thực nghiệm thuần túy. Cuối cùng, luận án tuân thủ nguyên tắc báo cáo trung thực: các kết quả từ mẫu nhỏ hoặc thiếu công suất (ví dụ mẫu chỉ gồm doanh nghiệp xuất khẩu tại SIDS) được trình bày như</w:t>
      </w:r>
      <w:r>
        <w:t xml:space="preserve"> </w:t>
      </w:r>
      <w:r>
        <w:t xml:space="preserve">“</w:t>
      </w:r>
      <w:r>
        <w:t xml:space="preserve">ranh giới suy luận</w:t>
      </w:r>
      <w:r>
        <w:t xml:space="preserve">”</w:t>
      </w:r>
      <w:r>
        <w:t xml:space="preserve"> </w:t>
      </w:r>
      <w:r>
        <w:t xml:space="preserve">(inferential bounds) chứ không phải bằng chứng nhân quả khẳng định, và mọi suy luận về điều tiết thể chế được neo đồng thời vào hai nguồn độc lập là kiểm định điều tiết của meta-analysis và gradient điểm uốn của mô hình đa quốc gia (xem §4.2.3, §4.6.2). Cách tiếp cận đa lớp này phản ánh thực hành tốt nhất trong kinh tế lượng ứng dụng khi làm việc với dữ liệu quan sát quy mô lớn (Angrist &amp; Pischke, 2009).</w:t>
      </w:r>
    </w:p>
    <w:bookmarkEnd w:id="57"/>
    <w:bookmarkEnd w:id="58"/>
    <w:bookmarkStart w:id="59"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Mixed design</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49 châu Á + Pacific economies</w:t>
            </w:r>
            <w:r>
              <w:t xml:space="preserve"> </w:t>
            </w:r>
            <w:r>
              <w:t xml:space="preserve">trong một luận án</w:t>
            </w:r>
          </w:p>
        </w:tc>
      </w:tr>
      <w:tr>
        <w:tc>
          <w:tcPr/>
          <w:p>
            <w:pPr>
              <w:pStyle w:val="Compact"/>
              <w:jc w:val="left"/>
            </w:pPr>
            <w:r>
              <w:t xml:space="preserve">Meta-analysis 1982–2026</w:t>
            </w:r>
          </w:p>
        </w:tc>
        <w:tc>
          <w:tcPr/>
          <w:p>
            <w:pPr>
              <w:pStyle w:val="Compact"/>
              <w:jc w:val="left"/>
            </w:pPr>
            <w:r>
              <w:t xml:space="preserve">Bausch &amp; Krist (2007); Kirca et al. (2012); Marano et al. (2016)</w:t>
            </w:r>
          </w:p>
        </w:tc>
        <w:tc>
          <w:tcPr/>
          <w:p>
            <w:pPr>
              <w:pStyle w:val="Compact"/>
              <w:jc w:val="left"/>
            </w:pPr>
            <w:r>
              <w:t xml:space="preserve">Mở rộng coverage, bổ sung digital và 6 sub-regime ICRV moderators</w:t>
            </w:r>
          </w:p>
        </w:tc>
      </w:tr>
      <w:tr>
        <w:tc>
          <w:tcPr/>
          <w:p>
            <w:pPr>
              <w:pStyle w:val="Compact"/>
              <w:jc w:val="left"/>
            </w:pPr>
            <w:r>
              <w:t xml:space="preserve">Pool empirical</w:t>
            </w:r>
          </w:p>
        </w:tc>
        <w:tc>
          <w:tcPr/>
          <w:p>
            <w:pPr>
              <w:pStyle w:val="Compact"/>
              <w:jc w:val="left"/>
            </w:pPr>
            <w:r>
              <w:t xml:space="preserve">nghiên cứu thành phần P1 — 17 nước châu Á mới nổi</w:t>
            </w:r>
          </w:p>
        </w:tc>
        <w:tc>
          <w:tcPr/>
          <w:p>
            <w:pPr>
              <w:pStyle w:val="Compact"/>
              <w:jc w:val="left"/>
            </w:pPr>
            <w:r>
              <w:t xml:space="preserve">Mở rộng từ 17 →</w:t>
            </w:r>
            <w:r>
              <w:t xml:space="preserve"> </w:t>
            </w:r>
            <w:r>
              <w:rPr>
                <w:bCs/>
                <w:b/>
              </w:rPr>
              <w:t xml:space="preserve">49 nước</w:t>
            </w:r>
            <w:r>
              <w:t xml:space="preserve"> </w:t>
            </w:r>
            <w:r>
              <w:t xml:space="preserve">với 91.982 doanh nghiệp · 102 cặp quốc gia × năm</w:t>
            </w:r>
          </w:p>
        </w:tc>
      </w:tr>
      <w:tr>
        <w:tc>
          <w:tcPr/>
          <w:p>
            <w:pPr>
              <w:pStyle w:val="Compact"/>
              <w:jc w:val="left"/>
            </w:pPr>
            <w:r>
              <w:t xml:space="preserve">Labor productivity DV</w:t>
            </w:r>
          </w:p>
        </w:tc>
        <w:tc>
          <w:tcPr/>
          <w:p>
            <w:pPr>
              <w:pStyle w:val="Compact"/>
              <w:jc w:val="left"/>
            </w:pPr>
            <w:r>
              <w:t xml:space="preserve">Bloom et al. (2012); Hsieh &amp; Klenow (2009); nghiên cứu thành phần P1</w:t>
            </w:r>
          </w:p>
        </w:tc>
        <w:tc>
          <w:tcPr/>
          <w:p>
            <w:pPr>
              <w:pStyle w:val="Compact"/>
              <w:jc w:val="left"/>
            </w:pPr>
            <w:r>
              <w:t xml:space="preserve">Lập luận rõ về firm performance đa chiều trong bối cảnh WBES</w:t>
            </w:r>
          </w:p>
        </w:tc>
      </w:tr>
      <w:tr>
        <w:tc>
          <w:tcPr/>
          <w:p>
            <w:pPr>
              <w:pStyle w:val="Compact"/>
              <w:jc w:val="left"/>
            </w:pPr>
            <w:r>
              <w:t xml:space="preserve">FSTS + FSTS² + FSTS³</w:t>
            </w:r>
          </w:p>
        </w:tc>
        <w:tc>
          <w:tcPr/>
          <w:p>
            <w:pPr>
              <w:pStyle w:val="Compact"/>
              <w:jc w:val="left"/>
            </w:pPr>
            <w:r>
              <w:t xml:space="preserve">Lu &amp; Beamish (2004); Hitt et al. (1997); nghiên cứu thành phần P2</w:t>
            </w:r>
          </w:p>
        </w:tc>
        <w:tc>
          <w:tcPr/>
          <w:p>
            <w:pPr>
              <w:pStyle w:val="Compact"/>
              <w:jc w:val="left"/>
            </w:pPr>
            <w:r>
              <w:t xml:space="preserve">Đưa vào cùng three-way moderation framework</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Non-overlapping construct purity protocol cho WBES; digital shield mở rộng (nghiên cứu thành phần P1)</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Three-way moderation</w:t>
            </w:r>
          </w:p>
        </w:tc>
        <w:tc>
          <w:tcPr/>
          <w:p>
            <w:pPr>
              <w:pStyle w:val="Compact"/>
              <w:jc w:val="left"/>
            </w:pPr>
            <w:r>
              <w:t xml:space="preserve">Aiken &amp; West (1991); Dawson (2014)</w:t>
            </w:r>
          </w:p>
        </w:tc>
        <w:tc>
          <w:tcPr/>
          <w:p>
            <w:pPr>
              <w:pStyle w:val="Compact"/>
              <w:jc w:val="left"/>
            </w:pPr>
            <w:r>
              <w:t xml:space="preserve">digital × institutional × manager mới cho châu Á và Pacific</w:t>
            </w:r>
          </w:p>
        </w:tc>
      </w:tr>
      <w:tr>
        <w:tc>
          <w:tcPr/>
          <w:p>
            <w:pPr>
              <w:pStyle w:val="Compact"/>
              <w:jc w:val="left"/>
            </w:pPr>
            <w:r>
              <w:t xml:space="preserve">Temporal heterogeneity</w:t>
            </w:r>
          </w:p>
        </w:tc>
        <w:tc>
          <w:tcPr/>
          <w:p>
            <w:pPr>
              <w:pStyle w:val="Compact"/>
              <w:jc w:val="left"/>
            </w:pPr>
            <w:r>
              <w:t xml:space="preserve">Wu et al. (2022); Xiao et al. (2013); nghiên cứu thành phần P2</w:t>
            </w:r>
          </w:p>
        </w:tc>
        <w:tc>
          <w:tcPr/>
          <w:p>
            <w:pPr>
              <w:pStyle w:val="Compact"/>
              <w:jc w:val="left"/>
            </w:pPr>
            <w:r>
              <w:t xml:space="preserve">China 2012–2024 stability test (turning point ~47,8% FSTS)</w:t>
            </w:r>
          </w:p>
        </w:tc>
      </w:tr>
      <w:tr>
        <w:tc>
          <w:tcPr/>
          <w:p>
            <w:pPr>
              <w:pStyle w:val="Compact"/>
              <w:jc w:val="left"/>
            </w:pPr>
            <w:r>
              <w:t xml:space="preserve">Robust SE</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Publication bias</w:t>
            </w:r>
          </w:p>
        </w:tc>
        <w:tc>
          <w:tcPr/>
          <w:p>
            <w:pPr>
              <w:pStyle w:val="Compact"/>
              <w:jc w:val="left"/>
            </w:pPr>
            <w:r>
              <w:t xml:space="preserve">Egger et al. (1997); Begg &amp; Mazumdar (1994)</w:t>
            </w:r>
          </w:p>
        </w:tc>
        <w:tc>
          <w:tcPr/>
          <w:p>
            <w:pPr>
              <w:pStyle w:val="Compact"/>
              <w:jc w:val="left"/>
            </w:pPr>
            <w:r>
              <w:t xml:space="preserve">Chuẩn</w:t>
            </w:r>
          </w:p>
        </w:tc>
      </w:tr>
    </w:tbl>
    <w:bookmarkEnd w:id="59"/>
    <w:bookmarkStart w:id="60"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World Bank cung cấp miễn phí cho mục đích nghiên cứu (World Bank, n.d.). Tất cả các citation theo APA 7th để ghi nhận đầy đủ công sức của các tác giả trước, tránh đạo văn. Code và dữ liệu phân tích được lưu trữ trên các nhánh chuyên biệt của repository để bảo đảm khả năng tái lập kết quả.</w:t>
      </w:r>
    </w:p>
    <w:bookmarkEnd w:id="6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2026-06-12T17:54:20Z</dcterms:created>
  <dcterms:modified xsi:type="dcterms:W3CDTF">2026-06-12T17:54:20Z</dcterms:modified>
</cp:coreProperties>
</file>

<file path=docProps/custom.xml><?xml version="1.0" encoding="utf-8"?>
<Properties xmlns="http://schemas.openxmlformats.org/officeDocument/2006/custom-properties" xmlns:vt="http://schemas.openxmlformats.org/officeDocument/2006/docPropsVTypes"/>
</file>