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20"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(§3.3) ở cấp độ</w:t>
      </w:r>
      <w:r>
        <w:t xml:space="preserve"> </w:t>
      </w:r>
      <w:r>
        <w:rPr>
          <w:bCs/>
          <w:b/>
        </w:rPr>
        <w:t xml:space="preserve">thao tác chi tiết</w:t>
      </w:r>
      <w:r>
        <w:t xml:space="preserve"> </w:t>
      </w:r>
      <w:r>
        <w:t xml:space="preserve">(operational detail):</w:t>
      </w:r>
      <w:r>
        <w:t xml:space="preserve"> </w:t>
      </w:r>
      <w:r>
        <w:t xml:space="preserve">trong khi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20"/>
    <w:bookmarkStart w:id="21"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21"/>
    <w:bookmarkStart w:id="22"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(pool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bảng panel, Informal Sector,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49 nền</w:t>
            </w:r>
            <w:r>
              <w:t xml:space="preserve"> </w:t>
            </w:r>
            <w:r>
              <w:t xml:space="preserve">Á–Thái Bình Dương</w:t>
            </w:r>
          </w:p>
        </w:tc>
        <w:tc>
          <w:tcPr/>
          <w:p>
            <w:pPr>
              <w:pStyle w:val="Compact"/>
              <w:jc w:val="left"/>
            </w:pPr>
            <w:r>
              <w:t xml:space="preserve">Pool phân loại =</w:t>
            </w:r>
            <w:r>
              <w:t xml:space="preserve"> </w:t>
            </w:r>
            <w:r>
              <w:rPr>
                <w:bCs/>
                <w:b/>
              </w:rPr>
              <w:t xml:space="preserve">96.415</w:t>
            </w:r>
            <w:r>
              <w:t xml:space="preserve"> </w:t>
            </w:r>
            <w:r>
              <w:t xml:space="preserve">DN (52 nền) → khung 49 nền =</w:t>
            </w:r>
            <w:r>
              <w:t xml:space="preserve"> </w:t>
            </w:r>
            <w:r>
              <w:rPr>
                <w:bCs/>
                <w:b/>
              </w:rPr>
              <w:t xml:space="preserve">91.864</w:t>
            </w:r>
            <w:r>
              <w:t xml:space="preserve"> </w:t>
            </w:r>
            <w:r>
              <w:t xml:space="preserve">DN</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mô tả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pool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17 đợt khảo sát 2003–2025.</w:t>
      </w:r>
    </w:p>
    <w:p>
      <w:pPr>
        <w:pStyle w:val="BodyText"/>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G["91.982 DN · 49 nền&lt;br/&gt;(MẪU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105 sóng chuẩn ≥2006 của 49 nền, 80.523 doanh nghiệp–năm)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 đã khóa</w:t>
      </w:r>
      <w:r>
        <w:t xml:space="preserve"> </w:t>
      </w:r>
      <w:r>
        <w:t xml:space="preserve">của luận án</w:t>
      </w:r>
      <w:r>
        <w:t xml:space="preserve"> </w:t>
      </w:r>
      <w:r>
        <w:t xml:space="preserve">(96.415 / 91.982 / 84.910) được báo cáo từ tệp pool gốc và là con số được trích dẫn trong</w:t>
      </w:r>
      <w:r>
        <w:t xml:space="preserve"> </w:t>
      </w:r>
      <w:r>
        <w:t xml:space="preserve">Chương 3–4. Sai khác giữa hai lớp được công bố minh bạch để hội đồng kiểm chứng.</w:t>
      </w:r>
    </w:p>
    <w:bookmarkEnd w:id="22"/>
    <w:bookmarkStart w:id="23"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module cốt lõi bất biến của bộ công cụ WBES</w:t>
      </w:r>
      <w:r>
        <w:t xml:space="preserve"> </w:t>
      </w:r>
      <w:r>
        <w:t xml:space="preserve">toàn cầu (World Bank, 2019). Các biến trọng tâm và quy tắc xây dựng:</w:t>
      </w:r>
    </w:p>
    <w:p>
      <w:pPr>
        <w:numPr>
          <w:ilvl w:val="0"/>
          <w:numId w:val="1001"/>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01"/>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01"/>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§2.1.3 và Coltman et al. (2008).</w:t>
      </w:r>
    </w:p>
    <w:p>
      <w:pPr>
        <w:numPr>
          <w:ilvl w:val="0"/>
          <w:numId w:val="1001"/>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23"/>
    <w:bookmarkStart w:id="24"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pool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02"/>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02"/>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gradient điểm uốn</w:t>
      </w:r>
      <w:r>
        <w:t xml:space="preserve">, những</w:t>
      </w:r>
      <w:r>
        <w:t xml:space="preserve"> </w:t>
      </w:r>
      <w:r>
        <w:t xml:space="preserve">đại lượng bất biến với đơn vị tiền tệ (xem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24"/>
    <w:bookmarkStart w:id="25" w:name="Xcda44a616a0294a63022c370d6fafff6af411dd"/>
    <w:p>
      <w:pPr>
        <w:pStyle w:val="Heading2"/>
      </w:pPr>
      <w:r>
        <w:t xml:space="preserve">A.6 Chiến lược hợp nhất kinh tế lượng (pooled repeated cross-sections)</w:t>
      </w:r>
    </w:p>
    <w:p>
      <w:pPr>
        <w:pStyle w:val="FirstParagraph"/>
      </w:pPr>
      <w:r>
        <w:t xml:space="preserve">Vì dữ liệu là lát cắt ngang lặp lại chứ không phải panel, ước lượng tuân theo khung</w:t>
      </w:r>
      <w:r>
        <w:t xml:space="preserve"> </w:t>
      </w:r>
      <w:r>
        <w:rPr>
          <w:bCs/>
          <w:b/>
        </w:rPr>
        <w:t xml:space="preserve">pooled</w:t>
      </w:r>
      <w:r>
        <w:rPr>
          <w:bCs/>
          <w:b/>
        </w:rPr>
        <w:t xml:space="preserve"> </w:t>
      </w:r>
      <w:r>
        <w:rPr>
          <w:bCs/>
          <w:b/>
        </w:rPr>
        <w:t xml:space="preserve">cross-section với hiệu ứng cố định</w:t>
      </w:r>
      <w:r>
        <w:t xml:space="preserve"> </w:t>
      </w:r>
      <w:r>
        <w:t xml:space="preserve">thay vì mô hình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25"/>
    <w:bookmarkStart w:id="26"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49 nền kinh tế châu Á và Thái Bình Dương</w:t>
      </w:r>
      <w:r>
        <w:t xml:space="preserve">, loại ba nền ngoài</w:t>
      </w:r>
      <w:r>
        <w:t xml:space="preserve"> </w:t>
      </w:r>
      <w:r>
        <w:t xml:space="preserve">khu vực (Comoros, Cyprus, Türkiye) khỏi mẫu phân tích chính trong khi vẫn giữ chúng ở pool</w:t>
      </w:r>
      <w:r>
        <w:t xml:space="preserve"> </w:t>
      </w:r>
      <w:r>
        <w:t xml:space="preserve">phân loại 52 nền cho mục đích độ vững (riêng Comoros được dùng trong kiểm định độ vững</w:t>
      </w:r>
      <w:r>
        <w:t xml:space="preserve"> </w:t>
      </w:r>
      <w:r>
        <w:t xml:space="preserve">mở rộng của P8).</w:t>
      </w:r>
    </w:p>
    <w:bookmarkEnd w:id="26"/>
    <w:bookmarkStart w:id="27"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27"/>
    <w:bookmarkStart w:id="28"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đặc tả và kiểm tra tính ổn định của</w:t>
      </w:r>
      <w:r>
        <w:t xml:space="preserve"> </w:t>
      </w:r>
      <w:r>
        <w:t xml:space="preserve">điểm uốn để bảo đảm kết quả không bị chi phối bởi cơ chế khuyết (Little &amp; Rubin, 2019).</w:t>
      </w:r>
    </w:p>
    <w:bookmarkEnd w:id="28"/>
    <w:bookmarkStart w:id="29"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proxy cho hiệu quả, không phải</w:t>
      </w:r>
      <w:r>
        <w:t xml:space="preserve"> </w:t>
      </w:r>
      <w:r>
        <w:t xml:space="preserve">TFPR trực tiếp; (iii) đo lường DAI bị giới hạn ở proxy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&amp; dữ liệu:</w:t>
      </w:r>
      <w:r>
        <w:rPr>
          <w:iCs/>
          <w:i/>
        </w:rPr>
        <w:t xml:space="preserve"> </w:t>
      </w:r>
      <w:r>
        <w:rPr>
          <w:rStyle w:val="VerbatimChar"/>
          <w:iCs/>
          <w:i/>
        </w:rPr>
        <w:t xml:space="preserve">scripts/build_pooled_dataset.py</w:t>
      </w:r>
      <w:r>
        <w:rPr>
          <w:iCs/>
          <w:i/>
        </w:rPr>
        <w:t xml:space="preserve">,</w:t>
      </w:r>
      <w:r>
        <w:rPr>
          <w:iCs/>
          <w:i/>
        </w:rPr>
        <w:t xml:space="preserve"> </w:t>
      </w:r>
      <w:r>
        <w:rPr>
          <w:rStyle w:val="VerbatimChar"/>
          <w:iCs/>
          <w:i/>
        </w:rPr>
        <w:t xml:space="preserve">scripts/wbes_canon.py</w:t>
      </w:r>
      <w:r>
        <w:rPr>
          <w:iCs/>
          <w:i/>
        </w:rPr>
        <w:t xml:space="preserve">,</w:t>
      </w:r>
      <w:r>
        <w:rPr>
          <w:iCs/>
          <w:i/>
        </w:rPr>
        <w:t xml:space="preserve"> </w:t>
      </w:r>
      <w:r>
        <w:rPr>
          <w:rStyle w:val="VerbatimChar"/>
          <w:iCs/>
          <w:i/>
        </w:rPr>
        <w:t xml:space="preserve">scripts/cd1_descriptives_pipeline.py</w:t>
      </w:r>
      <w:r>
        <w:rPr>
          <w:iCs/>
          <w:i/>
        </w:rPr>
        <w:t xml:space="preserve">;</w:t>
      </w:r>
      <w:r>
        <w:rPr>
          <w:iCs/>
          <w:i/>
        </w:rPr>
        <w:t xml:space="preserve"> </w:t>
      </w:r>
      <w:r>
        <w:rPr>
          <w:rStyle w:val="VerbatimChar"/>
          <w:iCs/>
          <w:i/>
        </w:rPr>
        <w:t xml:space="preserve">data_wbes/analysis/pooled_dataflow.csv</w:t>
      </w:r>
      <w:r>
        <w:rPr>
          <w:iCs/>
          <w:i/>
        </w:rPr>
        <w:t xml:space="preserve">,</w:t>
      </w:r>
      <w:r>
        <w:rPr>
          <w:iCs/>
          <w:i/>
        </w:rPr>
        <w:t xml:space="preserve"> </w:t>
      </w:r>
      <w:r>
        <w:rPr>
          <w:rStyle w:val="VerbatimChar"/>
          <w:iCs/>
          <w:i/>
        </w:rPr>
        <w:t xml:space="preserve">DATA_UPDATE_MANIFEST.md</w:t>
      </w:r>
      <w:r>
        <w:rPr>
          <w:iCs/>
          <w:i/>
        </w:rPr>
        <w:t xml:space="preserve">,</w:t>
      </w:r>
      <w:r>
        <w:rPr>
          <w:iCs/>
          <w:i/>
        </w:rPr>
        <w:t xml:space="preserve"> </w:t>
      </w:r>
      <w:r>
        <w:rPr>
          <w:rStyle w:val="VerbatimChar"/>
          <w:iCs/>
          <w:i/>
        </w:rPr>
        <w:t xml:space="preserve">CANONICAL_RECONCILIATION.md</w:t>
      </w:r>
      <w:r>
        <w:rPr>
          <w:iCs/>
          <w:i/>
        </w:rPr>
        <w:t xml:space="preserve">.</w:t>
      </w:r>
    </w:p>
    <w:bookmarkEnd w:id="29"/>
    <w:bookmarkEnd w:id="3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2026-06-12T17:54:21Z</dcterms:created>
  <dcterms:modified xsi:type="dcterms:W3CDTF">2026-06-12T17:54:21Z</dcterms:modified>
</cp:coreProperties>
</file>

<file path=docProps/custom.xml><?xml version="1.0" encoding="utf-8"?>
<Properties xmlns="http://schemas.openxmlformats.org/officeDocument/2006/custom-properties" xmlns:vt="http://schemas.openxmlformats.org/officeDocument/2006/docPropsVTypes"/>
</file>