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w:t>
      </w:r>
      <w:r>
        <w:t xml:space="preserve">—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32"/>
    <w:bookmarkStart w:id="3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33"/>
    <w:bookmarkStart w:id="3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34"/>
    <w:bookmarkStart w:id="3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5"/>
    <w:bookmarkStart w:id="39" w:name="đối-tượng-và-phạm-vi-nghiên-cứu"/>
    <w:p>
      <w:pPr>
        <w:pStyle w:val="Heading2"/>
      </w:pPr>
      <w:r>
        <w:t xml:space="preserve">1.5 Đối tượng và phạm vi nghiên cứu</w:t>
      </w:r>
    </w:p>
    <w:bookmarkStart w:id="3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6"/>
    <w:bookmarkStart w:id="3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37"/>
    <w:bookmarkStart w:id="3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w:t>
      </w:r>
      <w:r>
        <w:t xml:space="preserve"> </w:t>
      </w:r>
      <w:r>
        <w:t xml:space="preserve">“</w:t>
      </w:r>
      <w:r>
        <w:t xml:space="preserve">digital shield effect</w:t>
      </w:r>
      <w:r>
        <w:t xml:space="preserve">”</w:t>
      </w:r>
      <w:r>
        <w:t xml:space="preserve"> </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bảy nền kinh tế Pacific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 40,7% →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p>
      <w:r>
        <w:br w:type="page"/>
      </w:r>
    </w:p>
    <w:bookmarkEnd w:id="47"/>
    <w:bookmarkStart w:id="79"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w:t>
      </w:r>
      <w:r>
        <w:t xml:space="preserve">—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robustness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49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(Emerging), và Nhóm VI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1"/>
    <w:bookmarkEnd w:id="52"/>
    <w:bookmarkStart w:id="58"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DAI — chỉ số áp dụng số nền tảng (Tier-1 proxy) đo lường sự hiện diện website —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5"/>
    <w:bookmarkStart w:id="56"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6"/>
    <w:bookmarkStart w:id="57"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57"/>
    <w:bookmarkEnd w:id="58"/>
    <w:bookmarkStart w:id="63" w:name="tổng-quan-thực-nghiệm"/>
    <w:p>
      <w:pPr>
        <w:pStyle w:val="Heading2"/>
      </w:pPr>
      <w:r>
        <w:t xml:space="preserve">2.3 Tổng quan thực nghiệm</w:t>
      </w:r>
    </w:p>
    <w:bookmarkStart w:id="59" w:name="giai-đoạn-phát-triển-của-literature-ip"/>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59"/>
    <w:bookmarkStart w:id="60"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nghiên cứu cho thấy r = 0,07 — nhất quán với các meta-analyses toàn cầu nhưng cụ thể hơn về bối cảnh châu Á. Luận án này mở rộng pool đó thông qua Nghiên cứu P6 —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 turning point giảm dần khi chuyển từ thể chế yếu sang thể chế mạnh — là moderator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60"/>
    <w:bookmarkStart w:id="61"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49 nền kinh tế (bao gồm 7 nền kinh tế đảo nhỏ Thái Bình Dương (mẫu chính; 9 nền khi mở rộng robustness)).</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1"/>
    <w:bookmarkStart w:id="62"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62"/>
    <w:bookmarkEnd w:id="63"/>
    <w:bookmarkStart w:id="64"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nghiên cứu thành phần P1 là baseline lớn nhất hiện có trong literature về châu Á, nhưng vẫn chưa bao gồm các nền kinh tế frontier và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Nghiên cứu thành phần P7 lấp đầy khoảng trống này bằng dữ liệu WBES từ 49 nền kinh tế (mẫu phân tích 91.982 doanh nghiệp; N hồi quy mô hình đầy đủ = 84.910 sau loại bỏ listwise các biến điều tiết, 102 country-year waves), bao phủ toàn bộ gradient ICRV từ nhóm tiên tiến đến SIDS, kiểm định đồng thời H1–H6 với country-year fixed effects. Kết quả turning point trung bình ~36% FSTS tại P7 — thấp hơn P3 Vietnam (~40%) và P5 Trung Quốc (~49%) — xác nhận ICRV điều tiết vị trí turning point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w:t>
      </w:r>
      <w:r>
        <w:t xml:space="preserve"> </w:t>
      </w:r>
      <w:r>
        <w:t xml:space="preserve">“</w:t>
      </w:r>
      <w:r>
        <w:t xml:space="preserve">Forced Internationalization Penalty</w:t>
      </w:r>
      <w:r>
        <w:t xml:space="preserve">”</w:t>
      </w:r>
      <w:r>
        <w:t xml:space="preserve"> </w:t>
      </w:r>
      <w:r>
        <w:t xml:space="preserve">(FIP) — bối cảnh mà quốc tế hóa là gánh nặng sinh tồn, không phải lựa chọn chiến lược dựa trên lợi thế cạnh tranh. Nghiên cứu thành phần P8 — Nghiên cứu P8 — kiểm định H1b bằng dữ liệu WBES từ các nền kinh tế SIDS (Fiji, Papua New Guinea, Solomon Islands, Tonga, Vanuatu, Samoa, Kiribati), nơi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4"/>
    <w:bookmarkStart w:id="77" w:name="mô-hình-nghiên-cứu-và-hệ-giả-thuyết"/>
    <w:p>
      <w:pPr>
        <w:pStyle w:val="Heading2"/>
      </w:pPr>
      <w:r>
        <w:t xml:space="preserve">2.5 Mô hình nghiên cứu và hệ giả thuyết</w:t>
      </w:r>
    </w:p>
    <w:bookmarkStart w:id="68"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 năng lực doanh nghiệp — bao gồm TCI và DAI như hai moderator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6" name="Picture"/>
            <a:graphic>
              <a:graphicData uri="http://schemas.openxmlformats.org/drawingml/2006/picture">
                <pic:pic>
                  <pic:nvPicPr>
                    <pic:cNvPr descr="figures/fig_2_1_cdcm_conceptual_model.png" id="67" name="Picture"/>
                    <pic:cNvPicPr>
                      <a:picLocks noChangeArrowheads="1" noChangeAspect="1"/>
                    </pic:cNvPicPr>
                  </pic:nvPicPr>
                  <pic:blipFill>
                    <a:blip r:embed="rId65"/>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 quan hệ phi tuyến chữ U ngược); mũi tên đứt thể hiện tác động điều tiết của ba tầng (thể chế ICRV — H5; năng lực số TCI/DAI — H2, H3; đặc điểm nhà quản trị —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68"/>
    <w:bookmarkStart w:id="69"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69"/>
    <w:bookmarkStart w:id="70"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0"/>
    <w:bookmarkStart w:id="71"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71"/>
    <w:bookmarkStart w:id="72"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2"/>
    <w:bookmarkStart w:id="73"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3"/>
    <w:bookmarkStart w:id="74"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4"/>
    <w:bookmarkStart w:id="75"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5"/>
    <w:bookmarkStart w:id="76"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P1–P8),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 chương —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(49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 thuộc P5, lồng dưới H2/H6); H4a–H4b (kiểm định điều tiết độ cong theo năng lực — thuộc P5, lồng dưới H2); tương tác tổng hợp ba chiều của P7 (lồng dưới H3 và H5); E1a–E1b (kiểm định định hướng gradient ICRV — lồng dưới H5); và H1c (kiểm định tan biến ngưỡng chữ U ngược theo thời gian tại Ấn Độ — thuộc P9, lồng dưới H1 và H6). Các ký hiệu con này phục vụ độ chính xác kỹ thuật của từng mô hình và không làm thay đổi hệ giả thuyết trọng tâm H1–H6/H1b của luận án.</w:t>
      </w:r>
    </w:p>
    <w:bookmarkEnd w:id="76"/>
    <w:bookmarkEnd w:id="77"/>
    <w:bookmarkStart w:id="78"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78"/>
    <w:bookmarkEnd w:id="79"/>
    <w:bookmarkStart w:id="80" w:name="chương-3-phương-pháp-nghiên-cứu"/>
    <w:p>
      <w:pPr>
        <w:pStyle w:val="Heading1"/>
      </w:pPr>
      <w:r>
        <w:t xml:space="preserve">CHƯƠNG 3: PHƯƠNG PHÁP NGHIÊN CỨU</w:t>
      </w:r>
    </w:p>
    <w:bookmarkEnd w:id="80"/>
    <w:p>
      <w:r>
        <w:pict>
          <v:rect style="width:0;height:1.5pt" o:hralign="center" o:hrstd="t" o:hr="t"/>
        </w:pict>
      </w:r>
    </w:p>
    <w:bookmarkStart w:id="83" w:name="thiết-kế-nghiên-cứu-tổng-thể"/>
    <w:p>
      <w:pPr>
        <w:pStyle w:val="Heading2"/>
      </w:pPr>
      <w:r>
        <w:t xml:space="preserve">3.1 Thiết kế nghiên cứu tổng thể</w:t>
      </w:r>
    </w:p>
    <w:bookmarkStart w:id="8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49 nền kinh tế</w:t>
      </w:r>
      <w:r>
        <w:t xml:space="preserve"> </w:t>
      </w:r>
      <w:r>
        <w:t xml:space="preserve">là thiết kế hiếm gặp; đa số các luận án IB chỉ làm một trong hai phase. Quy mô 49 nước/91.982 doanh nghiệp là phạm vi địa lý lớn nhất từng có cho khu vực, mở rộng từ pool 17 nước trong nghiên cứu thành phần P1.</w:t>
      </w:r>
    </w:p>
    <w:bookmarkEnd w:id="81"/>
    <w:bookmarkStart w:id="8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49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2"/>
    <w:bookmarkEnd w:id="83"/>
    <w:bookmarkStart w:id="87" w:name="phase-1-meta-analysis-19822026"/>
    <w:p>
      <w:pPr>
        <w:pStyle w:val="Heading2"/>
      </w:pPr>
      <w:r>
        <w:t xml:space="preserve">3.2 Phase 1 — Meta-analysis 1982–2026</w:t>
      </w:r>
    </w:p>
    <w:bookmarkStart w:id="8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4"/>
    <w:bookmarkStart w:id="85"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5"/>
    <w:bookmarkStart w:id="86" w:name="quy-trình-prisma"/>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6"/>
    <w:bookmarkEnd w:id="87"/>
    <w:bookmarkStart w:id="96" w:name="X8de0b19c054d402e314fef9726425749df3fc18"/>
    <w:p>
      <w:pPr>
        <w:pStyle w:val="Heading2"/>
      </w:pPr>
      <w:r>
        <w:t xml:space="preserve">3.3 Phase 2 — Phân tích thực nghiệm đa quốc gia</w:t>
      </w:r>
    </w:p>
    <w:bookmarkStart w:id="8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49 nền kinh tế châu Á và Pacific</w:t>
      </w:r>
      <w:r>
        <w:t xml:space="preserve"> </w:t>
      </w:r>
      <w:r>
        <w:t xml:space="preserve">trong giai đoạn</w:t>
      </w:r>
      <w:r>
        <w:t xml:space="preserve"> </w:t>
      </w:r>
      <w:r>
        <w:rPr>
          <w:bCs/>
          <w:b/>
        </w:rPr>
        <w:t xml:space="preserve">2003–2025</w:t>
      </w:r>
      <w:r>
        <w:t xml:space="preserve"> </w:t>
      </w:r>
      <w:r>
        <w:t xml:space="preserve">(91.982 doanh nghiệp · 102 cặp quốc gia × năm ·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49 nền kinh tế châu Á và Pacific</w:t>
      </w:r>
      <w:r>
        <w:t xml:space="preserve">, với 6 sub-regime ICRV (Advanced innovation-driven, Advanced resource-driven, Upper-middle, Lower-middle transition, Emerging, SIDS). Quy mô này là lớn nhất cho khu vực trong literature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88"/>
    <w:bookmarkStart w:id="89" w:name="Xbff20786659f3471473d6f5f9041e850d60d8e2"/>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89"/>
    <w:bookmarkStart w:id="90" w:name="đo-lường-biến-độc-lập-quốc-tế-hóa"/>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turning point ~47,8% FSTS, làm baseline cho việc kiểm định mở rộng trong luận án.</w:t>
      </w:r>
    </w:p>
    <w:bookmarkEnd w:id="90"/>
    <w:bookmarkStart w:id="94" w:name="đo-lường-biến-điều-tiết"/>
    <w:p>
      <w:pPr>
        <w:pStyle w:val="Heading3"/>
      </w:pPr>
      <w:r>
        <w:t xml:space="preserve">3.3.4 Đo lường biến điều tiết</w:t>
      </w:r>
    </w:p>
    <w:bookmarkStart w:id="9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49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91"/>
    <w:bookmarkStart w:id="9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92"/>
    <w:bookmarkStart w:id="9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93"/>
    <w:bookmarkEnd w:id="94"/>
    <w:bookmarkStart w:id="9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5"/>
    <w:bookmarkEnd w:id="96"/>
    <w:bookmarkStart w:id="111" w:name="mô-hình-phân-tích"/>
    <w:p>
      <w:pPr>
        <w:pStyle w:val="Heading2"/>
      </w:pPr>
      <w:r>
        <w:t xml:space="preserve">3.4 Mô hình phân tích</w:t>
      </w:r>
    </w:p>
    <w:bookmarkStart w:id="9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97"/>
    <w:bookmarkStart w:id="98" w:name="mô-hình-empirical-tuyến-tính-cơ-bản"/>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98"/>
    <w:bookmarkStart w:id="9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99"/>
    <w:bookmarkStart w:id="102" w:name="mô-hình-moderation-h2h6"/>
    <w:p>
      <w:pPr>
        <w:pStyle w:val="Heading3"/>
      </w:pPr>
      <w:r>
        <w:t xml:space="preserve">3.4.4 Mô hình moderation (H2–H6)</w:t>
      </w:r>
    </w:p>
    <w:bookmarkStart w:id="10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100"/>
    <w:bookmarkStart w:id="10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1"/>
    <w:bookmarkEnd w:id="102"/>
    <w:bookmarkStart w:id="10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103"/>
    <w:bookmarkStart w:id="104" w:name="X3ef1c131b29643aac6595f7e8338779440cc96b"/>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4"/>
    <w:bookmarkStart w:id="105" w:name="Xee326425775ef5a6cb69bdccb6b7f607df42eb1"/>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5"/>
    <w:bookmarkStart w:id="106" w:name="Xd0414c1f445c504fea8a4b83b026b3007745b73"/>
    <w:p>
      <w:pPr>
        <w:pStyle w:val="Heading3"/>
      </w:pPr>
      <w:r>
        <w:t xml:space="preserve">3.4.5.3 Mô hình cụ thể —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106"/>
    <w:bookmarkStart w:id="109" w:name="Xef1ee77b66ccd9962e55365d60bd74be93a9b17"/>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9"/>
        </w:numPr>
        <w:pStyle w:val="Compact"/>
      </w:pPr>
      <w:r>
        <w:rPr>
          <w:bCs/>
          <w:b/>
        </w:rPr>
        <w:t xml:space="preserve">lnNSLD_it</w:t>
      </w:r>
      <w:r>
        <w:t xml:space="preserve">: ln(năng suất lao động) = ln(doanh thu / lao động thường trực) — biến phụ thuộc</w:t>
      </w:r>
    </w:p>
    <w:p>
      <w:pPr>
        <w:numPr>
          <w:ilvl w:val="0"/>
          <w:numId w:val="1009"/>
        </w:numPr>
        <w:pStyle w:val="Compact"/>
      </w:pPr>
      <w:r>
        <w:rPr>
          <w:bCs/>
          <w:b/>
        </w:rPr>
        <w:t xml:space="preserve">CDDXK_c_it</w:t>
      </w:r>
      <w:r>
        <w:t xml:space="preserve">: cường độ xuất khẩu mean-centred — FSTS_c = (d3c/100) − mean_pool(FSTS)</w:t>
      </w:r>
    </w:p>
    <w:p>
      <w:pPr>
        <w:numPr>
          <w:ilvl w:val="0"/>
          <w:numId w:val="1009"/>
        </w:numPr>
        <w:pStyle w:val="Compact"/>
      </w:pPr>
      <w:r>
        <w:rPr>
          <w:bCs/>
          <w:b/>
        </w:rPr>
        <w:t xml:space="preserve">CDDXK_c²_it</w:t>
      </w:r>
      <w:r>
        <w:t xml:space="preserve">: CDDXK_c bình phương — kiểm định phi tuyến</w:t>
      </w:r>
    </w:p>
    <w:p>
      <w:pPr>
        <w:numPr>
          <w:ilvl w:val="0"/>
          <w:numId w:val="1009"/>
        </w:numPr>
        <w:pStyle w:val="Compact"/>
      </w:pPr>
      <w:r>
        <w:rPr>
          <w:bCs/>
          <w:b/>
        </w:rPr>
        <w:t xml:space="preserve">NLCN_z_it</w:t>
      </w:r>
      <w:r>
        <w:t xml:space="preserve">: năng lực công nghệ z-standardised — TCI_z = z-std(b8, e6)</w:t>
      </w:r>
    </w:p>
    <w:p>
      <w:pPr>
        <w:numPr>
          <w:ilvl w:val="0"/>
          <w:numId w:val="1009"/>
        </w:numPr>
        <w:pStyle w:val="Compact"/>
      </w:pPr>
      <w:r>
        <w:rPr>
          <w:bCs/>
          <w:b/>
        </w:rPr>
        <w:t xml:space="preserve">CSS_z_it</w:t>
      </w:r>
      <w:r>
        <w:t xml:space="preserve">: chỉ số số hoá z-standardised —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Advanced→SIDS)</w:t>
      </w:r>
    </w:p>
    <w:p>
      <w:pPr>
        <w:numPr>
          <w:ilvl w:val="0"/>
          <w:numId w:val="1009"/>
        </w:numPr>
        <w:pStyle w:val="Compact"/>
      </w:pPr>
      <w:r>
        <w:rPr>
          <w:bCs/>
          <w:b/>
        </w:rPr>
        <w:t xml:space="preserve">lnLD_it</w:t>
      </w:r>
      <w:r>
        <w:t xml:space="preserve">: ln(lao động thường trực) —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7" w:name="X2f7897a1357dc715f37e320d2cca3ed5f2bb32c"/>
    <w:p>
      <w:pPr>
        <w:pStyle w:val="Heading4"/>
      </w:pPr>
      <w:r>
        <w:t xml:space="preserve">3.4.5.5 Mô hình cụ thể —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moderator uốn đường cong (H2 moderation null)</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107"/>
    <w:bookmarkStart w:id="10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III ICRV (Emerging);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08"/>
    <w:bookmarkEnd w:id="109"/>
    <w:bookmarkStart w:id="11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0"/>
    <w:bookmarkEnd w:id="111"/>
    <w:bookmarkStart w:id="117" w:name="kiểm-định-độ-vững"/>
    <w:p>
      <w:pPr>
        <w:pStyle w:val="Heading2"/>
      </w:pPr>
      <w:r>
        <w:t xml:space="preserve">3.5 Kiểm định độ vững</w:t>
      </w:r>
    </w:p>
    <w:bookmarkStart w:id="112"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moderator: thay DAI_thin bằng DAI_rich (cho subset 2024+).</w:t>
      </w:r>
    </w:p>
    <w:bookmarkEnd w:id="112"/>
    <w:bookmarkStart w:id="11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3"/>
    <w:bookmarkStart w:id="11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4"/>
    <w:bookmarkStart w:id="115"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5"/>
    <w:bookmarkStart w:id="116"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6"/>
    <w:bookmarkEnd w:id="117"/>
    <w:bookmarkStart w:id="11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102 cặp quốc gia ×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18"/>
    <w:bookmarkStart w:id="119" w:name="đạo-đức-nghiên-cứu"/>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19"/>
    <w:bookmarkStart w:id="120" w:name="chương-4-kết-quả-nghiên-cứu"/>
    <w:p>
      <w:pPr>
        <w:pStyle w:val="Heading1"/>
      </w:pPr>
      <w:r>
        <w:t xml:space="preserve">CHƯƠNG 4: KẾT QUẢ NGHIÊN CỨU</w:t>
      </w:r>
    </w:p>
    <w:bookmarkEnd w:id="120"/>
    <w:p>
      <w:r>
        <w:pict>
          <v:rect style="width:0;height:1.5pt" o:hralign="center" o:hrstd="t" o:hr="t"/>
        </w:pict>
      </w:r>
    </w:p>
    <w:bookmarkStart w:id="1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1"/>
    <w:bookmarkStart w:id="126" w:name="Xed285cd0261846a13dee28de69c0403b250498d"/>
    <w:p>
      <w:pPr>
        <w:pStyle w:val="Heading2"/>
      </w:pPr>
      <w:r>
        <w:t xml:space="preserve">4.1 Thực trạng quốc tế hóa và hiệu quả hoạt động kinh doanh tại châu Á</w:t>
      </w:r>
    </w:p>
    <w:bookmarkStart w:id="122" w:name="Xdc33a1e36e2f3be83736669663a61a68c91d087"/>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(Nhóm V — Emerging), với tỷ số P90/P10 có xu hướng tăng (gần đơn điệu, với dao động giữa các Nhóm III–IV và V–VI)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Lưu ý: chuyên đề tiến sĩ số 1 dùng tên mô tả cũ (</w:t>
      </w:r>
      <w:r>
        <w:rPr>
          <w:iCs/>
          <w:i/>
        </w:rPr>
        <w:t xml:space="preserve">‘</w:t>
      </w:r>
      <w:r>
        <w:rPr>
          <w:iCs/>
          <w:i/>
        </w:rPr>
        <w:t xml:space="preserve">Đang nổi</w:t>
      </w:r>
      <w:r>
        <w:rPr>
          <w:iCs/>
          <w:i/>
        </w:rPr>
        <w:t xml:space="preserve">’</w:t>
      </w:r>
      <w:r>
        <w:rPr>
          <w:iCs/>
          <w:i/>
        </w:rPr>
        <w:t xml:space="preserve">/</w:t>
      </w:r>
      <w:r>
        <w:rPr>
          <w:iCs/>
          <w:i/>
        </w:rPr>
        <w:t xml:space="preserve">‘</w:t>
      </w:r>
      <w:r>
        <w:rPr>
          <w:iCs/>
          <w:i/>
        </w:rPr>
        <w:t xml:space="preserve">Cận biên</w:t>
      </w:r>
      <w:r>
        <w:rPr>
          <w:iCs/>
          <w:i/>
        </w:rPr>
        <w:t xml:space="preserve">’</w:t>
      </w:r>
      <w:r>
        <w:rPr>
          <w:iCs/>
          <w:i/>
        </w:rPr>
        <w:t xml:space="preserve">) trên bản khóa mô tả riêng (xem crosswalk trong CĐ1); nhãn dùng trong luận án và P7/CĐ2 là nhãn dữ liệu nêu ở đây.</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đơn điệu của độ phân tán năng suất theo gradient ICRV không chỉ là một quan sát mô tả mà còn nhất quán với khung lý thuyết phân bổ sai nguồn lực (resource misallocation) của Hsieh và Klenow (2009): trong môi trường thể chế yếu, các rào cản thị trường — tiếp cận tài chính hạn chế, thực thi hợp đồng kém, méo mó chính sách —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2"/>
    <w:bookmarkStart w:id="123" w:name="X8bec3537640f28bf435d79e17219bfe20c234df"/>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3"/>
    <w:bookmarkStart w:id="1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tái tính trực tiếp từ dữ liệu thô WBES trên khung 49 nền (dedupe theo nước–năm, đợt ≥2006; chỉ báo h1/h5/h8/b8/c22b), nay tách đủ sáu nhóm — Nhóm II (GCC) đủ 6/6 nền nên không còn phải gộp vào Advanced như bản trước.</w:t>
      </w:r>
      <w:r>
        <w:rPr>
          <w:iCs/>
          <w:i/>
        </w:rPr>
        <w:t xml:space="preserve"> </w:t>
      </w:r>
      <w:r>
        <w:rPr>
          <w:iCs/>
          <w:i/>
        </w:rPr>
        <w:t xml:space="preserve">“</w:t>
      </w:r>
      <w:r>
        <w:rPr>
          <w:iCs/>
          <w:i/>
        </w:rPr>
        <w:t xml:space="preserve">Quy trình mới</w:t>
      </w:r>
      <w:r>
        <w:rPr>
          <w:iCs/>
          <w:i/>
        </w:rPr>
        <w:t xml:space="preserve">”</w:t>
      </w:r>
      <w:r>
        <w:rPr>
          <w:iCs/>
          <w:i/>
        </w:rPr>
        <w:t xml:space="preserve"> </w:t>
      </w:r>
      <w:r>
        <w:rPr>
          <w:iCs/>
          <w:i/>
        </w:rPr>
        <w:t xml:space="preserve">dùng định nghĩa chuẩn h5 (hẹp hơn bản khóa mô tả cũ). Bộ số này khớp Bảng 2.3.4.1 của Chuyên đề 1 (</w:t>
      </w:r>
      <w:r>
        <w:rPr>
          <w:rStyle w:val="VerbatimChar"/>
          <w:iCs/>
          <w:i/>
        </w:rPr>
        <w:t xml:space="preserve">data_wbes/analysis/CD1_PIPELINE_RESULTS.md</w:t>
      </w:r>
      <w:r>
        <w:rPr>
          <w:iCs/>
          <w:i/>
        </w:rPr>
        <w:t xml:space="preserve">). Gradient năng lực thể chế thể hiện rõ ở các biến nền tảng: R&amp;D 20,5% (Nhóm I) → 10,2% (Nhóm VI); ISO 35,0% → 12,2%; website 61,7% → 41,5%.</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124"/>
    <w:bookmarkStart w:id="1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p>
      <w:r>
        <w:pict>
          <v:rect style="width:0;height:1.5pt" o:hralign="center" o:hrstd="t" o:hr="t"/>
        </w:pict>
      </w:r>
    </w:p>
    <w:bookmarkEnd w:id="125"/>
    <w:bookmarkEnd w:id="126"/>
    <w:bookmarkStart w:id="131" w:name="Xe0084a7c2f7e752cafc4091ca0758f37f91bfa0"/>
    <w:p>
      <w:pPr>
        <w:pStyle w:val="Heading2"/>
      </w:pPr>
      <w:r>
        <w:t xml:space="preserve">4.2 Kết quả tổng hợp định lượng — Meta-analysis ba tầng (P6)</w:t>
      </w:r>
    </w:p>
    <w:bookmarkStart w:id="1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127"/>
    <w:bookmarkStart w:id="1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28"/>
    <w:bookmarkStart w:id="129" w:name="X0fe7021f65141f72ccca43dd2595712a4bb11b5"/>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 meta-analysis cấp nghiên cứu —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29"/>
    <w:bookmarkStart w:id="1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30"/>
    <w:bookmarkEnd w:id="131"/>
    <w:bookmarkStart w:id="135" w:name="Xae571c1410747d630a72c4d12985bac375822ae"/>
    <w:p>
      <w:pPr>
        <w:pStyle w:val="Heading2"/>
      </w:pPr>
      <w:r>
        <w:t xml:space="preserve">4.3 Kết quả bối cảnh thể chế tiên tiến — Đổi mới: Singapore (P4)</w:t>
      </w:r>
    </w:p>
    <w:bookmarkStart w:id="1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2"/>
    <w:bookmarkStart w:id="1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3"/>
    <w:bookmarkStart w:id="1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134"/>
    <w:bookmarkEnd w:id="135"/>
    <w:bookmarkStart w:id="139" w:name="Xabe361c2d5961cf19ce7ab2bd5d9bc6d758140a"/>
    <w:p>
      <w:pPr>
        <w:pStyle w:val="Heading2"/>
      </w:pPr>
      <w:r>
        <w:t xml:space="preserve">4.4 Kết quả bối cảnh thể chế trung bình cao: Trung Quốc, 2012–2024 (P5)</w:t>
      </w:r>
    </w:p>
    <w:bookmarkStart w:id="1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36"/>
    <w:bookmarkStart w:id="137" w:name="Xe662776ac4ed20d7263c0278e37e5e670eb65fc"/>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137"/>
    <w:bookmarkStart w:id="1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38"/>
    <w:bookmarkEnd w:id="139"/>
    <w:bookmarkStart w:id="144" w:name="Xdbd5cc67084304ba85b73781c0cb0c00b74055b"/>
    <w:p>
      <w:pPr>
        <w:pStyle w:val="Heading2"/>
      </w:pPr>
      <w:r>
        <w:t xml:space="preserve">4.5 Kết quả bối cảnh chuyển đổi bậc thấp—trung: Việt Nam (P3)</w:t>
      </w:r>
    </w:p>
    <w:bookmarkStart w:id="1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140"/>
    <w:bookmarkStart w:id="1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141"/>
    <w:bookmarkStart w:id="142" w:name="điều-tiết-bởi-tci-tích-cực-và-có-ý-nghĩa"/>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142"/>
    <w:bookmarkStart w:id="143" w:name="điều-tiết-bởi-dai-không-có-ý-nghĩa"/>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3"/>
    <w:bookmarkEnd w:id="144"/>
    <w:bookmarkStart w:id="151" w:name="X561afa853383c674354c1acb167a55cae3a018f"/>
    <w:p>
      <w:pPr>
        <w:pStyle w:val="Heading2"/>
      </w:pPr>
      <w:r>
        <w:t xml:space="preserve">4.6 Kết quả kiểm định toàn mẫu đa bối cảnh châu Á (P7)</w:t>
      </w:r>
    </w:p>
    <w:bookmarkStart w:id="1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p>
      <w:pPr>
        <w:pStyle w:val="BodyText"/>
      </w:pPr>
      <w:r>
        <w:rPr>
          <w:bCs/>
          <w:b/>
        </w:rPr>
        <w:t xml:space="preserve">Lưu ý cập nhật dữ liệu (2026).</w:t>
      </w:r>
      <w:r>
        <w:t xml:space="preserve"> </w:t>
      </w:r>
      <w:r>
        <w:t xml:space="preserve">Sau khi P7 hoàn tất ước lượng trên mẫu phân tích 49 nền, bộ dữ liệu WBES được cập nhật bổ sung</w:t>
      </w:r>
      <w:r>
        <w:t xml:space="preserve"> </w:t>
      </w:r>
      <w:r>
        <w:rPr>
          <w:bCs/>
          <w:b/>
        </w:rPr>
        <w:t xml:space="preserve">Japan-2025</w:t>
      </w:r>
      <w:r>
        <w:t xml:space="preserve"> </w:t>
      </w:r>
      <w:r>
        <w:t xml:space="preserve">(khảo sát lần đầu, thuộc Nhóm I — nâng khung phân loại lên 50 nền/94.032 doanh nghiệp) cùng các sóng khảo sát mới 2024–2026 của 31 nền (chi tiết:</w:t>
      </w:r>
      <w:r>
        <w:t xml:space="preserve"> </w:t>
      </w:r>
      <w:r>
        <w:rPr>
          <w:rStyle w:val="VerbatimChar"/>
        </w:rPr>
        <w:t xml:space="preserve">data_wbes/analysis/DATA_UPDATE_MANIFEST.md</w:t>
      </w:r>
      <w:r>
        <w:t xml:space="preserve">). Các quan sát này được lưu trữ để phục vụ</w:t>
      </w:r>
      <w:r>
        <w:t xml:space="preserve"> </w:t>
      </w:r>
      <w:r>
        <w:rPr>
          <w:bCs/>
          <w:b/>
        </w:rPr>
        <w:t xml:space="preserve">vòng ước lượng lại P7 kế tiếp</w:t>
      </w:r>
      <w:r>
        <w:t xml:space="preserve">; kết quả P7 báo cáo ở đây</w:t>
      </w:r>
      <w:r>
        <w:t xml:space="preserve"> </w:t>
      </w:r>
      <w:r>
        <w:rPr>
          <w:bCs/>
          <w:b/>
        </w:rPr>
        <w:t xml:space="preserve">giữ nguyên trên mẫu phân tích 49 nền đã khóa</w:t>
      </w:r>
      <w:r>
        <w:t xml:space="preserve"> </w:t>
      </w:r>
      <w:r>
        <w:t xml:space="preserve">(khớp bản thảo đang bình duyệt). Vì P7 dùng country fixed effects và Japan là một nền đơn lẻ có biến thiên quốc tế hóa thấp (FSTS trung bình 4,1%), việc bổ sung Japan dự kiến không làm thay đổi turning point của các nhóm khác mà chỉ tinh chỉnh ước lượng riêng Nhóm I; xác nhận định lượng cần do nhóm nghiên cứu chạy lại do-file gốc của P7 trên mẫu mở rộng.</w:t>
      </w:r>
    </w:p>
    <w:bookmarkEnd w:id="145"/>
    <w:bookmarkStart w:id="149" w:name="gradient-icrv-xác-nhận-h5"/>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TP(Emerging/SIDS)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CaptionedFigure"/>
      </w:pPr>
      <w:r>
        <w:drawing>
          <wp:inline>
            <wp:extent cx="5753100" cy="3849196"/>
            <wp:effectExtent b="0" l="0" r="0" t="0"/>
            <wp:docPr descr="Hình 4.1. Họ đường cong I–P phụ thuộc chế độ thể chế ICRV" title="" id="147" name="Picture"/>
            <a:graphic>
              <a:graphicData uri="http://schemas.openxmlformats.org/drawingml/2006/picture">
                <pic:pic>
                  <pic:nvPicPr>
                    <pic:cNvPr descr="figures/fig_4_x_ip_curves_icrv_gradient.png" id="148" name="Picture"/>
                    <pic:cNvPicPr>
                      <a:picLocks noChangeArrowheads="1" noChangeAspect="1"/>
                    </pic:cNvPicPr>
                  </pic:nvPicPr>
                  <pic:blipFill>
                    <a:blip r:embed="rId146"/>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149"/>
    <w:bookmarkStart w:id="150"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5"/>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50"/>
    <w:bookmarkEnd w:id="151"/>
    <w:bookmarkStart w:id="155" w:name="X42f69945b56833cca239d45dc5864a7be6f74d7"/>
    <w:p>
      <w:pPr>
        <w:pStyle w:val="Heading2"/>
      </w:pPr>
      <w:r>
        <w:t xml:space="preserve">4.7 Kết quả trường hợp biên SIDS — Các nền kinh tế đảo nhỏ đang phát triển (P8)</w:t>
      </w:r>
    </w:p>
    <w:bookmarkStart w:id="152"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2"/>
    <w:bookmarkStart w:id="153" w:name="X305be4308b12f06c15c4aa0bf75053d865f81d7"/>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153"/>
    <w:bookmarkStart w:id="154"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154"/>
    <w:bookmarkEnd w:id="155"/>
    <w:bookmarkStart w:id="156"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56"/>
    <w:bookmarkStart w:id="157" w:name="tổng-hợp-kết-quả-theo-hệ-giả-thuyết"/>
    <w:p>
      <w:pPr>
        <w:pStyle w:val="Heading2"/>
      </w:pPr>
      <w:r>
        <w:t xml:space="preserve">4.9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57"/>
    <w:bookmarkStart w:id="1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58"/>
    <w:bookmarkStart w:id="159" w:name="chương-5-kết-luận-và-đề-xuất"/>
    <w:p>
      <w:pPr>
        <w:pStyle w:val="Heading1"/>
      </w:pPr>
      <w:r>
        <w:t xml:space="preserve">CHƯƠNG 5: KẾT LUẬN VÀ ĐỀ XUẤT</w:t>
      </w:r>
    </w:p>
    <w:bookmarkEnd w:id="159"/>
    <w:p>
      <w:r>
        <w:pict>
          <v:rect style="width:0;height:1.5pt" o:hralign="center" o:hrstd="t" o:hr="t"/>
        </w:pict>
      </w:r>
    </w:p>
    <w:bookmarkStart w:id="16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0"/>
    <w:bookmarkStart w:id="167" w:name="Xff8cef3ed320f9cf6f3fba4ff558bfed3af19c6"/>
    <w:p>
      <w:pPr>
        <w:pStyle w:val="Heading2"/>
      </w:pPr>
      <w:r>
        <w:t xml:space="preserve">5.1 Bàn luận kết quả theo khung lý thuyết CDCM</w:t>
      </w:r>
    </w:p>
    <w:bookmarkStart w:id="161" w:name="X87949b622680195c8f5649c31ec800d0d4afb82"/>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161"/>
    <w:bookmarkStart w:id="162" w:name="tci-là-năng-lực-nền-tảng-xác-nhận-h2"/>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162"/>
    <w:bookmarkStart w:id="163" w:name="X27755afda27725d75d6cee82c01fb99e8279a05"/>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163"/>
    <w:bookmarkStart w:id="164" w:name="X9c0cd9664cda47af8ea782aa1697b3fd1384e63"/>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164"/>
    <w:bookmarkStart w:id="165" w:name="Xfdc4f05762204c1e9501761a1ebcb843f9171c3"/>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65"/>
    <w:bookmarkStart w:id="166"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66"/>
    <w:bookmarkEnd w:id="167"/>
    <w:bookmarkStart w:id="171" w:name="so-sánh-với-nghiên-cứu-trước-đây"/>
    <w:p>
      <w:pPr>
        <w:pStyle w:val="Heading2"/>
      </w:pPr>
      <w:r>
        <w:t xml:space="preserve">5.2 So sánh với nghiên cứu trước đây</w:t>
      </w:r>
    </w:p>
    <w:bookmarkStart w:id="16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168"/>
    <w:bookmarkStart w:id="16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lưu ý điểm uốn này không định vị tin cậy do CI vượt ngưỡng khả thi, xem §4.3)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 bối cảnh underrepresented trong literature Lu và Beamish.</w:t>
      </w:r>
    </w:p>
    <w:bookmarkEnd w:id="169"/>
    <w:bookmarkStart w:id="170" w:name="X7d417abcca377c053c807a61872538ebbcf35bb"/>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170"/>
    <w:bookmarkEnd w:id="171"/>
    <w:bookmarkStart w:id="175" w:name="đóng-góp-lý-thuyết-1"/>
    <w:p>
      <w:pPr>
        <w:pStyle w:val="Heading2"/>
      </w:pPr>
      <w:r>
        <w:t xml:space="preserve">5.3 Đóng góp lý thuyết</w:t>
      </w:r>
    </w:p>
    <w:bookmarkStart w:id="172" w:name="cdcm-làm-rõ-dai-là-nguồn-lực-tình-huống"/>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 —</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2"/>
    <w:bookmarkStart w:id="173" w:name="X2d492fa0307aa4991837f2d5dc38e247101178c"/>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w:t>
      </w:r>
      <w:r>
        <w:t xml:space="preserve">— bẫy quốc tế hóa bắt buộc — mà không có turning point để thoát khỏi.</w:t>
      </w:r>
    </w:p>
    <w:bookmarkEnd w:id="173"/>
    <w:bookmarkStart w:id="174" w:name="Xc32e0c91761841c5d26867e9ff33e10da8db64c"/>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174"/>
    <w:bookmarkEnd w:id="175"/>
    <w:bookmarkStart w:id="179" w:name="đề-xuất-chính-sách-và-quản-trị"/>
    <w:p>
      <w:pPr>
        <w:pStyle w:val="Heading2"/>
      </w:pPr>
      <w:r>
        <w:t xml:space="preserve">5.4 Đề xuất chính sách và quản trị</w:t>
      </w:r>
    </w:p>
    <w:bookmarkStart w:id="176" w:name="Xbc6d621fc32e0aca77269dff0917fe138aa2fc5"/>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76"/>
    <w:bookmarkStart w:id="177" w:name="Xb72945ffcd7baeba99eebb1118ccccd8ec07fb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16"/>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77"/>
    <w:bookmarkStart w:id="178" w:name="X3f7c356bbecb0845bc3ba35928bc46323a69176"/>
    <w:p>
      <w:pPr>
        <w:pStyle w:val="Heading3"/>
      </w:pPr>
      <w:r>
        <w:t xml:space="preserve">5.4.3 Đề xuất đặc biệt cho SIDS —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78"/>
    <w:bookmarkEnd w:id="179"/>
    <w:bookmarkStart w:id="184" w:name="hạn-chế-và-hướng-nghiên-cứu-tương-lai"/>
    <w:p>
      <w:pPr>
        <w:pStyle w:val="Heading2"/>
      </w:pPr>
      <w:r>
        <w:t xml:space="preserve">5.5 Hạn chế và hướng nghiên cứu tương lai</w:t>
      </w:r>
    </w:p>
    <w:bookmarkStart w:id="180"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0"/>
    <w:bookmarkStart w:id="181"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1"/>
    <w:bookmarkStart w:id="182"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2"/>
    <w:bookmarkStart w:id="183"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Emerging và SIDS nơi tầng năng lực và thể chế yếu hơn — liệu đặc điểm nhà quản trị có thể bù đắp một phần cho những thiếu hụt đó không?</w:t>
      </w:r>
    </w:p>
    <w:p>
      <w:r>
        <w:pict>
          <v:rect style="width:0;height:1.5pt" o:hralign="center" o:hrstd="t" o:hr="t"/>
        </w:pict>
      </w:r>
    </w:p>
    <w:bookmarkEnd w:id="183"/>
    <w:bookmarkEnd w:id="184"/>
    <w:bookmarkStart w:id="189" w:name="kết-luận"/>
    <w:p>
      <w:pPr>
        <w:pStyle w:val="Heading2"/>
      </w:pPr>
      <w:r>
        <w:t xml:space="preserve">5.6 Kết luận</w:t>
      </w:r>
    </w:p>
    <w:bookmarkStart w:id="185"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inverted-U với TP = 39,3–46,2%, TCI là moderator dương có ý nghĩa.</w:t>
      </w:r>
    </w:p>
    <w:p>
      <w:pPr>
        <w:numPr>
          <w:ilvl w:val="0"/>
          <w:numId w:val="1017"/>
        </w:numPr>
      </w:pPr>
      <w:r>
        <w:rPr>
          <w:bCs/>
          <w:b/>
        </w:rPr>
        <w:t xml:space="preserve">P4</w:t>
      </w:r>
      <w:r>
        <w:t xml:space="preserve">: phân tích Singapore (Advanced Innovation), xác nhận inverted-U với TP ≈ 88,6% (rộng CI), DAI khuếch đại tại mức FSTS cao.</w:t>
      </w:r>
    </w:p>
    <w:p>
      <w:pPr>
        <w:numPr>
          <w:ilvl w:val="0"/>
          <w:numId w:val="1017"/>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 quan hệ âm đơn điệu không có turning point.</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 bằng chứng đầu tiên rằng chuyển đổi thể chế cực mạnh có thể hòa tan (chứ không chỉ dịch chuyển) ngưỡng. Đích MIR/IJOEM; kế thừa công trình tiền đề Do &amp; Phan (2025, IntechOpen).</w:t>
      </w:r>
    </w:p>
    <w:bookmarkEnd w:id="185"/>
    <w:bookmarkStart w:id="186"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186"/>
    <w:bookmarkStart w:id="187"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187"/>
    <w:bookmarkStart w:id="188"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p>
      <w:r>
        <w:br w:type="page"/>
      </w:r>
    </w:p>
    <w:bookmarkEnd w:id="188"/>
    <w:bookmarkEnd w:id="189"/>
    <w:bookmarkStart w:id="22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0"/>
    <w:bookmarkStart w:id="191"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1"/>
    <w:bookmarkStart w:id="19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2"/>
    <w:bookmarkStart w:id="193"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93"/>
    <w:bookmarkStart w:id="19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94"/>
    <w:bookmarkStart w:id="19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95"/>
    <w:bookmarkStart w:id="19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96"/>
    <w:bookmarkStart w:id="197" w:name="h.-firm-performance-đa-chiều"/>
    <w:p>
      <w:pPr>
        <w:pStyle w:val="Heading2"/>
      </w:pPr>
      <w:r>
        <w:t xml:space="preserve">H. Firm performance đa chiều</w:t>
      </w:r>
    </w:p>
    <w:p>
      <w:pPr>
        <w:pStyle w:val="FirstParagraph"/>
      </w:pPr>
      <w:r>
        <w:t xml:space="preserve">(Giữ nguyên từ v2.1.)</w:t>
      </w:r>
    </w:p>
    <w:bookmarkEnd w:id="197"/>
    <w:bookmarkStart w:id="19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98"/>
    <w:bookmarkStart w:id="200"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199" w:name="X2fb57ded0f7cbc8f956c4aa51a273056f808ba8"/>
    <w:p>
      <w:pPr>
        <w:pStyle w:val="Heading3"/>
      </w:pPr>
      <w:r>
        <w:t xml:space="preserve">Bổ sung v3.2 — Phương pháp hợp nhất dữ liệu đa quốc gia (Phụ lục A)</w:t>
      </w:r>
    </w:p>
    <w:p>
      <w:pPr>
        <w:pStyle w:val="FirstParagraph"/>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199"/>
    <w:bookmarkEnd w:id="200"/>
    <w:bookmarkStart w:id="201"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1"/>
    <w:bookmarkStart w:id="202"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2"/>
    <w:bookmarkStart w:id="203"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03"/>
    <w:bookmarkStart w:id="204"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04"/>
    <w:bookmarkStart w:id="205"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05"/>
    <w:bookmarkStart w:id="206"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06"/>
    <w:bookmarkStart w:id="207"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07"/>
    <w:bookmarkStart w:id="208"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08"/>
    <w:bookmarkStart w:id="209"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09"/>
    <w:bookmarkStart w:id="210"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0"/>
    <w:bookmarkStart w:id="214" w:name="hướng-dẫn-sử-dụng-cập-nhật-v2.5"/>
    <w:p>
      <w:pPr>
        <w:pStyle w:val="Heading2"/>
      </w:pPr>
      <w:r>
        <w:t xml:space="preserve">Hướng dẫn sử dụng (cập nhật v2.5)</w:t>
      </w:r>
    </w:p>
    <w:bookmarkStart w:id="211"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1"/>
    <w:bookmarkStart w:id="212"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2"/>
    <w:bookmarkStart w:id="213"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13"/>
    <w:bookmarkEnd w:id="214"/>
    <w:bookmarkStart w:id="215"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15"/>
    <w:bookmarkStart w:id="216"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16"/>
    <w:bookmarkStart w:id="217"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17"/>
    <w:bookmarkStart w:id="218"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18"/>
    <w:bookmarkStart w:id="222"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19" w:name="X041759103c7c799db9799d6bd71834307a428c8"/>
    <w:p>
      <w:pPr>
        <w:pStyle w:val="Heading3"/>
      </w:pPr>
      <w:r>
        <w:t xml:space="preserve">Công trình của tác giả luận án — Cập nhật Section M</w:t>
      </w:r>
    </w:p>
    <w:bookmarkEnd w:id="219"/>
    <w:bookmarkStart w:id="220"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0"/>
    <w:bookmarkStart w:id="221"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r>
        <w:br w:type="page"/>
      </w:r>
    </w:p>
    <w:bookmarkEnd w:id="221"/>
    <w:bookmarkEnd w:id="222"/>
    <w:bookmarkEnd w:id="223"/>
    <w:bookmarkStart w:id="234" w:name="Xff640a2fe7b5357a1c83c06fced6026c707611d"/>
    <w:p>
      <w:pPr>
        <w:pStyle w:val="Heading1"/>
      </w:pPr>
      <w:r>
        <w:t xml:space="preserve">PHỤ LỤC A —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2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24"/>
    <w:bookmarkStart w:id="22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bookmarkEnd w:id="225"/>
    <w:bookmarkStart w:id="22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49 nền</w:t>
            </w:r>
            <w:r>
              <w:t xml:space="preserve"> </w:t>
            </w:r>
            <w:r>
              <w:t xml:space="preserve">Á–Thái Bình Dương</w:t>
            </w:r>
          </w:p>
        </w:tc>
        <w:tc>
          <w:tcPr/>
          <w:p>
            <w:pPr>
              <w:pStyle w:val="Compact"/>
              <w:jc w:val="left"/>
            </w:pPr>
            <w:r>
              <w:t xml:space="preserve">Pool phân loại =</w:t>
            </w:r>
            <w:r>
              <w:t xml:space="preserve"> </w:t>
            </w:r>
            <w:r>
              <w:rPr>
                <w:bCs/>
                <w:b/>
              </w:rPr>
              <w:t xml:space="preserve">96.415</w:t>
            </w:r>
            <w:r>
              <w:t xml:space="preserve"> </w:t>
            </w:r>
            <w:r>
              <w:t xml:space="preserve">DN (52 nền) → khung 49 nền =</w:t>
            </w:r>
            <w:r>
              <w:t xml:space="preserve"> </w:t>
            </w:r>
            <w:r>
              <w:rPr>
                <w:bCs/>
                <w:b/>
              </w:rPr>
              <w:t xml:space="preserve">91.864</w:t>
            </w:r>
            <w:r>
              <w:t xml:space="preserve"> </w:t>
            </w:r>
            <w:r>
              <w:t xml:space="preserve">DN</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w:t>
            </w:r>
            <w:r>
              <w:t xml:space="preserve"> </w:t>
            </w:r>
            <w:r>
              <w:rPr>
                <w:bCs/>
                <w:b/>
              </w:rPr>
              <w:t xml:space="preserve">91.982</w:t>
            </w:r>
            <w:r>
              <w:t xml:space="preserve">; N hồi quy M2 =</w:t>
            </w:r>
            <w:r>
              <w:t xml:space="preserve"> </w:t>
            </w:r>
            <w:r>
              <w:rPr>
                <w:bCs/>
                <w:b/>
              </w:rPr>
              <w:t xml:space="preserve">84.910</w:t>
            </w:r>
            <w:r>
              <w:t xml:space="preserve">; mô hình đầy đủ M5 =</w:t>
            </w:r>
            <w:r>
              <w:t xml:space="preserve"> </w:t>
            </w:r>
            <w:r>
              <w:rPr>
                <w:bCs/>
                <w:b/>
              </w:rPr>
              <w:t xml:space="preserve">38.342</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G["91.982 DN · 49 nền&lt;br/&gt;— MẪU PHÂN TÍCH"]</w:t>
      </w:r>
      <w:r>
        <w:br/>
      </w:r>
      <w:r>
        <w:rPr>
          <w:rStyle w:val="VerbatimChar"/>
        </w:rPr>
        <w:t xml:space="preserve">    G --&gt;|"S6 · listwise tập biến trọng tâm"| H["84.910 — N hồi quy M2"]</w:t>
      </w:r>
      <w:r>
        <w:br/>
      </w:r>
      <w:r>
        <w:rPr>
          <w:rStyle w:val="VerbatimChar"/>
        </w:rPr>
        <w:t xml:space="preserve">    H --&gt;|"+ đầy đủ biến kiểm soát"| I["38.342 — M5 (two-way FE)"]</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105 sóng chuẩn ≥2006 của 49 nền, 80.523 doanh nghiệp–năm)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 đã khóa</w:t>
      </w:r>
      <w:r>
        <w:t xml:space="preserve"> </w:t>
      </w:r>
      <w:r>
        <w:t xml:space="preserve">của luận án</w:t>
      </w:r>
      <w:r>
        <w:t xml:space="preserve"> </w:t>
      </w:r>
      <w:r>
        <w:t xml:space="preserve">(96.415 / 91.982 / 84.910) được báo cáo từ tệp pool gốc và là con số được trích dẫn trong</w:t>
      </w:r>
      <w:r>
        <w:t xml:space="preserve"> </w:t>
      </w:r>
      <w:r>
        <w:t xml:space="preserve">Chương 3–4. Sai khác giữa hai lớp được công bố minh bạch để hội đồng kiểm chứng.</w:t>
      </w:r>
    </w:p>
    <w:bookmarkEnd w:id="226"/>
    <w:bookmarkStart w:id="22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27"/>
    <w:bookmarkStart w:id="228" w:name="X416f14599a376c8f9173525fa72cdada272c4e0"/>
    <w:p>
      <w:pPr>
        <w:pStyle w:val="Heading2"/>
      </w:pPr>
      <w:r>
        <w:t xml:space="preserve">A.5 Xử lý tính so sánh tiền tệ —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28"/>
    <w:bookmarkStart w:id="22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29"/>
    <w:bookmarkStart w:id="23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 ICRV) dựa trên tổ hợp các Chỉ số Quản trị Toàn cầu (Worldwide Governance</w:t>
      </w:r>
      <w:r>
        <w:t xml:space="preserve"> </w:t>
      </w:r>
      <w:r>
        <w:t xml:space="preserve">Indicators —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49 nền kinh tế châu Á và Thái Bình Dương</w:t>
      </w:r>
      <w:r>
        <w:t xml:space="preserve">, loại ba nền ngoài</w:t>
      </w:r>
      <w:r>
        <w:t xml:space="preserve"> </w:t>
      </w:r>
      <w:r>
        <w:t xml:space="preserve">khu vực (Comoros, Cyprus, Türkiye) khỏi mẫu phân tích chính trong khi vẫn giữ chúng ở pool</w:t>
      </w:r>
      <w:r>
        <w:t xml:space="preserve"> </w:t>
      </w:r>
      <w:r>
        <w:t xml:space="preserve">phân loại 52 nền cho mục đích robustness (riêng Comoros được dùng trong kiểm định độ vững</w:t>
      </w:r>
      <w:r>
        <w:t xml:space="preserve"> </w:t>
      </w:r>
      <w:r>
        <w:t xml:space="preserve">mở rộng của P8).</w:t>
      </w:r>
    </w:p>
    <w:bookmarkEnd w:id="230"/>
    <w:bookmarkStart w:id="23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31"/>
    <w:bookmarkStart w:id="23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32"/>
    <w:bookmarkStart w:id="23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33"/>
    <w:bookmarkEnd w:id="2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146" Target="media/rId1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2026-06-11T20:38:44Z</dcterms:created>
  <dcterms:modified xsi:type="dcterms:W3CDTF">2026-06-11T20:38:44Z</dcterms:modified>
</cp:coreProperties>
</file>

<file path=docProps/custom.xml><?xml version="1.0" encoding="utf-8"?>
<Properties xmlns="http://schemas.openxmlformats.org/officeDocument/2006/custom-properties" xmlns:vt="http://schemas.openxmlformats.org/officeDocument/2006/docPropsVTypes"/>
</file>