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334000" cy="2930266"/>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334000" cy="35559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334000" cy="35559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334000" cy="35559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334000" cy="35559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334000" cy="2226365"/>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334000" cy="222636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75"/>
    <w:bookmarkStart w:id="76" w:name="X799c23334c5944d058eaf15944a1408ff96b683"/>
    <w:p>
      <w:pPr>
        <w:pStyle w:val="Heading2"/>
      </w:pPr>
      <w:r>
        <w:t xml:space="preserve">Use of generative AI in the writing process</w:t>
      </w:r>
    </w:p>
    <w:p>
      <w:pPr>
        <w:pStyle w:val="FirstParagraph"/>
      </w:pPr>
      <w:r>
        <w:t xml:space="preserve">During the preparation of this work, the author(s) used generative AI-assisted tools solely for copy-editing — to improve the clarity, grammar, and structure of the author(s)' own original text. No generative AI was used to create or draft new substantive content. In accordance with the journal's policy, the author(s) will specify the exact name and version of the AI tool(s) used at the point of submission. [Author: insert tool name and version.]</w:t>
      </w:r>
    </w:p>
    <w:p>
      <w:pPr>
        <w:pStyle w:val="BodyText"/>
      </w:pPr>
      <w:r>
        <w:t xml:space="preserve">All conceptual framing, hypothesis development, empirical analysis, results interpretation, and final wording were authored by the human author(s), who take full responsibility for the content of the publication.</w:t>
      </w:r>
    </w:p>
    <w:bookmarkEnd w:id="76"/>
    <w:bookmarkStart w:id="77" w:name="acknowledgements"/>
    <w:p>
      <w:pPr>
        <w:pStyle w:val="Heading2"/>
      </w:pPr>
      <w:r>
        <w:t xml:space="preserve">Acknowledgements</w:t>
      </w:r>
    </w:p>
    <w:p>
      <w:pPr>
        <w:pStyle w:val="FirstParagraph"/>
      </w:pPr>
      <w:r>
        <w:t xml:space="preserve">[Acknowledgements removed for blind review; see separately submitted Title Page.]</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132" w:name="references"/>
    <w:p>
      <w:pPr>
        <w:pStyle w:val="Heading2"/>
      </w:pPr>
      <w:r>
        <w:t xml:space="preserve">References</w:t>
      </w:r>
    </w:p>
    <w:p>
      <w:pPr>
        <w:pStyle w:val="FirstParagraph"/>
      </w:pPr>
      <w:r>
        <w:t xml:space="preserve">Agarwal, R., Barattieri, A. and Mattoo, A. (2026), "Demand shocks, export expansion, and firm-level productivity: evidence from Vietnamese manufacturers", working paper, The World Bank, Washington, DC. [DOI pending; verify and add upon assignment before submission]</w:t>
      </w:r>
    </w:p>
    <w:p>
      <w:pPr>
        <w:pStyle w:val="BodyText"/>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79">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80">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81">
        <w:r>
          <w:rPr>
            <w:rStyle w:val="Hyperlink"/>
          </w:rPr>
          <w:t xml:space="preserve">https://doi.org/10.1057/s41267-019-00243-7</w:t>
        </w:r>
      </w:hyperlink>
    </w:p>
    <w:p>
      <w:pPr>
        <w:pStyle w:val="BodyText"/>
      </w:pPr>
      <w:r>
        <w:t xml:space="preserve">Barattieri, A., Mattoo, A. and Signoret, J.E. (2026), "Service trade liberalization and productivity growth: micro-evidence from Vietnam, 2008-2016", working paper, The World Bank, Washington, DC. [DOI pending; verify and add upon assignment before submission]</w:t>
      </w:r>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82">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83">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84">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85">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86">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87">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88">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89">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90">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91">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92">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93">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94">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95">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96">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97">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98">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99">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100">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101">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102">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103">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105">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106">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107">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108">
        <w:r>
          <w:rPr>
            <w:rStyle w:val="Hyperlink"/>
          </w:rPr>
          <w:t xml:space="preserve">https://doi.org/10.1177/0149206315624963</w:t>
        </w:r>
      </w:hyperlink>
    </w:p>
    <w:p>
      <w:pPr>
        <w:pStyle w:val="BodyText"/>
      </w:pPr>
      <w:r>
        <w:t xml:space="preserve">Nambisan, S., Wright, M. and Feldman, M. (2019), "The digital transformation of innovation and entrepreneurship: progress, challenges and key themes",</w:t>
      </w:r>
      <w:r>
        <w:t xml:space="preserve"> </w:t>
      </w:r>
      <w:r>
        <w:rPr>
          <w:iCs/>
          <w:i/>
        </w:rPr>
        <w:t xml:space="preserve">Research Policy</w:t>
      </w:r>
      <w:r>
        <w:t xml:space="preserve">, Vol. 48 No. 8, p.103773,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110">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111">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112">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113">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114">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115">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116">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117">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118">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120">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121">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25">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Wolfolds, S.E. and Siegel, J. (2019), "Misaccounting for endogeneity: the peril of relying on the Heckman two-step method without a valid instrument",</w:t>
      </w:r>
      <w:r>
        <w:t xml:space="preserve"> </w:t>
      </w:r>
      <w:r>
        <w:rPr>
          <w:iCs/>
          <w:i/>
        </w:rPr>
        <w:t xml:space="preserve">Strategic Management Journal</w:t>
      </w:r>
      <w:r>
        <w:t xml:space="preserve">, Vol. 40 No. 3, pp.432-462,</w:t>
      </w:r>
      <w:r>
        <w:t xml:space="preserve"> </w:t>
      </w:r>
      <w:hyperlink r:id="rId126">
        <w:r>
          <w:rPr>
            <w:rStyle w:val="Hyperlink"/>
          </w:rPr>
          <w:t xml:space="preserve">https://doi.org/10.1002/smj.2995</w:t>
        </w:r>
      </w:hyperlink>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27">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28">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29">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30">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31">
        <w:r>
          <w:rPr>
            <w:rStyle w:val="Hyperlink"/>
          </w:rPr>
          <w:t xml:space="preserve">https://doi.org/10.1016/j.jwb.2015.09.001</w:t>
        </w:r>
      </w:hyperlink>
    </w:p>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2" Target="https://doi.org/10.1002/1097-0266(200010/11)21:10/11"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98"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4" Target="https://doi.org/10.1002/smj.2399" TargetMode="External" /><Relationship Type="http://schemas.openxmlformats.org/officeDocument/2006/relationships/hyperlink" Id="rId87"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97" Target="https://doi.org/10.1007/s11575-007-0023-3" TargetMode="External" /><Relationship Type="http://schemas.openxmlformats.org/officeDocument/2006/relationships/hyperlink" Id="rId89"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0"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102" Target="https://doi.org/10.1057/jibs.2009.24" TargetMode="External" /><Relationship Type="http://schemas.openxmlformats.org/officeDocument/2006/relationships/hyperlink" Id="rId85" Target="https://doi.org/10.1057/jibs.2015.20" TargetMode="External" /><Relationship Type="http://schemas.openxmlformats.org/officeDocument/2006/relationships/hyperlink" Id="rId91" Target="https://doi.org/10.1057/palgrave.jibs.8400390" TargetMode="External" /><Relationship Type="http://schemas.openxmlformats.org/officeDocument/2006/relationships/hyperlink" Id="rId101" Target="https://doi.org/10.1057/palgrave.jibs.8490676" TargetMode="External" /><Relationship Type="http://schemas.openxmlformats.org/officeDocument/2006/relationships/hyperlink" Id="rId121" Target="https://doi.org/10.1057/s41267-017-0107-7" TargetMode="External" /><Relationship Type="http://schemas.openxmlformats.org/officeDocument/2006/relationships/hyperlink" Id="rId90" Target="https://doi.org/10.1057/s41267-017-0120-x" TargetMode="External" /><Relationship Type="http://schemas.openxmlformats.org/officeDocument/2006/relationships/hyperlink" Id="rId81"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5"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2" Target="https://doi.org/10.1177/014920639101700108" TargetMode="External" /><Relationship Type="http://schemas.openxmlformats.org/officeDocument/2006/relationships/hyperlink" Id="rId79" Target="https://doi.org/10.1177/1094428119836485" TargetMode="External" /><Relationship Type="http://schemas.openxmlformats.org/officeDocument/2006/relationships/hyperlink" Id="rId93" Target="https://doi.org/10.1257/jel.20171452" TargetMode="External" /><Relationship Type="http://schemas.openxmlformats.org/officeDocument/2006/relationships/hyperlink" Id="rId83" Target="https://doi.org/10.1257/jep.21.3.105" TargetMode="External" /><Relationship Type="http://schemas.openxmlformats.org/officeDocument/2006/relationships/hyperlink" Id="rId86" Target="https://doi.org/10.1257/mac.20180386" TargetMode="External" /><Relationship Type="http://schemas.openxmlformats.org/officeDocument/2006/relationships/hyperlink" Id="rId96"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88" Target="https://doi.org/10.2307/2393553" TargetMode="External" /><Relationship Type="http://schemas.openxmlformats.org/officeDocument/2006/relationships/hyperlink" Id="rId99" Target="https://doi.org/10.2307/256948" TargetMode="External" /><Relationship Type="http://schemas.openxmlformats.org/officeDocument/2006/relationships/hyperlink" Id="rId84"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2026-06-07T17:11:08Z</dcterms:created>
  <dcterms:modified xsi:type="dcterms:W3CDTF">2026-06-07T17:11:08Z</dcterms:modified>
</cp:coreProperties>
</file>

<file path=docProps/custom.xml><?xml version="1.0" encoding="utf-8"?>
<Properties xmlns="http://schemas.openxmlformats.org/officeDocument/2006/custom-properties" xmlns:vt="http://schemas.openxmlformats.org/officeDocument/2006/docPropsVTypes"/>
</file>