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GIÁO DỤC VÀ ĐÀO TẠO</w:t>
      </w:r>
      <w:r>
        <w:t xml:space="preserve"> </w:t>
      </w:r>
      <w:r>
        <w:t xml:space="preserve">TRƯỜNG ĐẠI HỌC CẦN THƠ</w:t>
      </w:r>
      <w:r>
        <w:t xml:space="preserve"> </w:t>
      </w:r>
      <w:r>
        <w:t xml:space="preserve">TRƯỜNG KINH TẾ</w:t>
      </w:r>
    </w:p>
    <w:p>
      <w:pPr>
        <w:pStyle w:val="BodyText"/>
      </w:pPr>
      <w:r>
        <w:t xml:space="preserve">─────────────────────────────────────────</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r>
        <w:t xml:space="preserve"> </w:t>
      </w:r>
      <w:r>
        <w:t xml:space="preserve">CỦA CÁC DOANH NGHIỆP Ở CHÂU Á</w:t>
      </w:r>
    </w:p>
    <w:p>
      <w:pPr>
        <w:pStyle w:val="BodyText"/>
      </w:pPr>
      <w:r>
        <w:t xml:space="preserve">Ngành: Quản trị kinh doanh</w:t>
      </w:r>
      <w:r>
        <w:t xml:space="preserve"> </w:t>
      </w:r>
      <w:r>
        <w:t xml:space="preserve">Mã ngành: 9340101</w:t>
      </w:r>
      <w:r>
        <w:t xml:space="preserve"> </w:t>
      </w:r>
      <w:r>
        <w:t xml:space="preserve">Mã nghiên cứu sinh: P1323001</w:t>
      </w:r>
    </w:p>
    <w:p>
      <w:pPr>
        <w:pStyle w:val="BodyText"/>
      </w:pPr>
      <w:r>
        <w:t xml:space="preserve">NGƯỜI HƯỚNG DẪN KHOA HỌC</w:t>
      </w:r>
      <w:r>
        <w:t xml:space="preserve"> </w:t>
      </w:r>
      <w:r>
        <w:t xml:space="preserve">TS. NGUYỄN MINH CẢNH</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2009–2025</w:t>
      </w:r>
      <w:r>
        <w:t xml:space="preserve">, mở rộng so sánh với các quốc đảo nhỏ đang phát triển (SIDS) Thái Bình Dương như trường hợp biên. Cơ sở dữ liệu là tổng hợp dữ liệu vi mô gồm</w:t>
      </w:r>
      <w:r>
        <w:t xml:space="preserve"> </w:t>
      </w:r>
      <w:r>
        <w:rPr>
          <w:bCs/>
          <w:b/>
        </w:rPr>
        <w:t xml:space="preserve">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 VEFR), bao trùm</w:t>
      </w:r>
      <w:r>
        <w:t xml:space="preserve"> </w:t>
      </w:r>
      <w:r>
        <w:rPr>
          <w:bCs/>
          <w:b/>
        </w:rPr>
        <w:t xml:space="preserve">47 nền kinh tế</w:t>
      </w:r>
      <w:r>
        <w:t xml:space="preserve"> </w:t>
      </w:r>
      <w:r>
        <w:t xml:space="preserve">với 6 phân nhóm con theo khung Biến thiên chế độ thể chế (ICRV): Advanced đổi mới sáng tạo dẫn dắt (5 nước), Advanced tài nguyên dẫn dắt (5 nước), trung bình cao (6 nước), đang nổi (7 nước), cận biên (17 nước), và SIDS Thái Bình Dương (7 nước, trường hợp biên mở rộng).</w:t>
      </w:r>
    </w:p>
    <w:p>
      <w:pPr>
        <w:pStyle w:val="BodyText"/>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lớn và không hội tụ</w:t>
      </w:r>
      <w:r>
        <w:t xml:space="preserve">. Bảy tiểu cảnh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(innovation-driven so với resource-driven) và xác nhận pattern</w:t>
      </w:r>
      <w:r>
        <w:t xml:space="preserve"> </w:t>
      </w:r>
      <w:r>
        <w:rPr>
          <w:bCs/>
          <w:b/>
        </w:rPr>
        <w:t xml:space="preserve">chi phí buộc phải quốc tế hóa</w:t>
      </w:r>
      <w:r>
        <w:t xml:space="preserve"> </w:t>
      </w:r>
      <w:r>
        <w:t xml:space="preserve">ở 7 SIDS Thái Bình Dương —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 boundary case extension).</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2"/>
    <w:bookmarkStart w:id="23" w:name="mục-lục"/>
    <w:p>
      <w:pPr>
        <w:pStyle w:val="Heading2"/>
      </w:pPr>
      <w:r>
        <w:t xml:space="preserve">MỤC LỤC</w:t>
      </w:r>
    </w:p>
    <w:p>
      <w:pPr>
        <w:numPr>
          <w:ilvl w:val="0"/>
          <w:numId w:val="1001"/>
        </w:numPr>
        <w:pStyle w:val="Compact"/>
      </w:pPr>
      <w:r>
        <w:t xml:space="preserve">Lời cam đoan</w:t>
      </w:r>
    </w:p>
    <w:p>
      <w:pPr>
        <w:numPr>
          <w:ilvl w:val="0"/>
          <w:numId w:val="1001"/>
        </w:numPr>
        <w:pStyle w:val="Compact"/>
      </w:pPr>
      <w:r>
        <w:t xml:space="preserve">Tóm tắt / Abstract</w:t>
      </w:r>
    </w:p>
    <w:p>
      <w:pPr>
        <w:numPr>
          <w:ilvl w:val="0"/>
          <w:numId w:val="1001"/>
        </w:numPr>
        <w:pStyle w:val="Compact"/>
      </w:pPr>
      <w:r>
        <w:t xml:space="preserve">Danh mục bảng</w:t>
      </w:r>
    </w:p>
    <w:p>
      <w:pPr>
        <w:numPr>
          <w:ilvl w:val="0"/>
          <w:numId w:val="1001"/>
        </w:numPr>
        <w:pStyle w:val="Compact"/>
      </w:pPr>
      <w:r>
        <w:t xml:space="preserve">Danh mục hình</w:t>
      </w:r>
    </w:p>
    <w:p>
      <w:pPr>
        <w:numPr>
          <w:ilvl w:val="0"/>
          <w:numId w:val="1001"/>
        </w:numPr>
        <w:pStyle w:val="Compact"/>
      </w:pPr>
      <w:r>
        <w:t xml:space="preserve">Danh mục từ viết tắt</w:t>
      </w:r>
    </w:p>
    <w:p>
      <w:pPr>
        <w:numPr>
          <w:ilvl w:val="0"/>
          <w:numId w:val="1001"/>
        </w:numPr>
        <w:pStyle w:val="Compact"/>
      </w:pPr>
      <w:r>
        <w:rPr>
          <w:bCs/>
          <w:b/>
        </w:rPr>
        <w:t xml:space="preserve">2.1 Giới thiệu</w:t>
      </w:r>
    </w:p>
    <w:p>
      <w:pPr>
        <w:numPr>
          <w:ilvl w:val="1"/>
          <w:numId w:val="1002"/>
        </w:numPr>
        <w:pStyle w:val="Compact"/>
      </w:pPr>
      <w:r>
        <w:t xml:space="preserve">2.1.1 Đặt vấn đề và tính cấp thiết</w:t>
      </w:r>
    </w:p>
    <w:p>
      <w:pPr>
        <w:numPr>
          <w:ilvl w:val="1"/>
          <w:numId w:val="1002"/>
        </w:numPr>
        <w:pStyle w:val="Compact"/>
      </w:pPr>
      <w:r>
        <w:t xml:space="preserve">2.1.2 Mục tiêu chuyên đề</w:t>
      </w:r>
    </w:p>
    <w:p>
      <w:pPr>
        <w:numPr>
          <w:ilvl w:val="1"/>
          <w:numId w:val="1002"/>
        </w:numPr>
        <w:pStyle w:val="Compact"/>
      </w:pPr>
      <w:r>
        <w:t xml:space="preserve">2.1.3 Nội dung và phạm vi nghiên cứu</w:t>
      </w:r>
    </w:p>
    <w:p>
      <w:pPr>
        <w:numPr>
          <w:ilvl w:val="1"/>
          <w:numId w:val="1002"/>
        </w:numPr>
        <w:pStyle w:val="Compact"/>
      </w:pPr>
      <w:r>
        <w:t xml:space="preserve">2.1.4 Giới hạn nghiên cứu</w:t>
      </w:r>
    </w:p>
    <w:p>
      <w:pPr>
        <w:numPr>
          <w:ilvl w:val="1"/>
          <w:numId w:val="1002"/>
        </w:numPr>
        <w:pStyle w:val="Compact"/>
      </w:pPr>
      <w:r>
        <w:t xml:space="preserve">2.1.5 Ý nghĩa khoa học và thực tiễn</w:t>
      </w:r>
    </w:p>
    <w:p>
      <w:pPr>
        <w:numPr>
          <w:ilvl w:val="0"/>
          <w:numId w:val="1001"/>
        </w:numPr>
        <w:pStyle w:val="Compact"/>
      </w:pPr>
      <w:r>
        <w:rPr>
          <w:bCs/>
          <w:b/>
        </w:rPr>
        <w:t xml:space="preserve">2.2 Phương pháp nghiên cứu</w:t>
      </w:r>
    </w:p>
    <w:p>
      <w:pPr>
        <w:numPr>
          <w:ilvl w:val="0"/>
          <w:numId w:val="1001"/>
        </w:numPr>
        <w:pStyle w:val="Compact"/>
      </w:pPr>
      <w:r>
        <w:rPr>
          <w:bCs/>
          <w:b/>
        </w:rPr>
        <w:t xml:space="preserve">2.3 Nội dung nghiên cứu</w:t>
      </w:r>
    </w:p>
    <w:p>
      <w:pPr>
        <w:numPr>
          <w:ilvl w:val="1"/>
          <w:numId w:val="1003"/>
        </w:numPr>
        <w:pStyle w:val="Compact"/>
      </w:pPr>
      <w:r>
        <w:t xml:space="preserve">2.3.1 Cơ sở lý luận về hiệu quả hoạt động kinh doanh</w:t>
      </w:r>
    </w:p>
    <w:p>
      <w:pPr>
        <w:numPr>
          <w:ilvl w:val="1"/>
          <w:numId w:val="1003"/>
        </w:numPr>
        <w:pStyle w:val="Compact"/>
      </w:pPr>
      <w:r>
        <w:t xml:space="preserve">2.3.2 Khung phân loại thể chế ICRV</w:t>
      </w:r>
    </w:p>
    <w:p>
      <w:pPr>
        <w:numPr>
          <w:ilvl w:val="1"/>
          <w:numId w:val="1003"/>
        </w:numPr>
        <w:pStyle w:val="Compact"/>
      </w:pPr>
      <w:r>
        <w:t xml:space="preserve">2.3.3 Thực trạng năng suất lao động và quốc tế hóa</w:t>
      </w:r>
    </w:p>
    <w:p>
      <w:pPr>
        <w:numPr>
          <w:ilvl w:val="1"/>
          <w:numId w:val="1003"/>
        </w:numPr>
        <w:pStyle w:val="Compact"/>
      </w:pPr>
      <w:r>
        <w:t xml:space="preserve">2.3.4 Đổi mới sáng tạo và năng lực số hóa</w:t>
      </w:r>
    </w:p>
    <w:p>
      <w:pPr>
        <w:numPr>
          <w:ilvl w:val="1"/>
          <w:numId w:val="1003"/>
        </w:numPr>
        <w:pStyle w:val="Compact"/>
      </w:pPr>
      <w:r>
        <w:t xml:space="preserve">2.3.5 Cấu trúc doanh nghiệp</w:t>
      </w:r>
    </w:p>
    <w:p>
      <w:pPr>
        <w:numPr>
          <w:ilvl w:val="1"/>
          <w:numId w:val="1003"/>
        </w:numPr>
        <w:pStyle w:val="Compact"/>
      </w:pPr>
      <w:r>
        <w:t xml:space="preserve">2.3.6 Biến thiên theo thời gian (2009–2025)</w:t>
      </w:r>
    </w:p>
    <w:p>
      <w:pPr>
        <w:numPr>
          <w:ilvl w:val="1"/>
          <w:numId w:val="1003"/>
        </w:numPr>
        <w:pStyle w:val="Compact"/>
      </w:pPr>
      <w:r>
        <w:t xml:space="preserve">2.3.7 Bảy tiểu cảnh điển hình</w:t>
      </w:r>
    </w:p>
    <w:p>
      <w:pPr>
        <w:numPr>
          <w:ilvl w:val="1"/>
          <w:numId w:val="1003"/>
        </w:numPr>
        <w:pStyle w:val="Compact"/>
      </w:pPr>
      <w:r>
        <w:t xml:space="preserve">2.3.8 Yếu tố giải thích sơ bộ</w:t>
      </w:r>
    </w:p>
    <w:p>
      <w:pPr>
        <w:numPr>
          <w:ilvl w:val="1"/>
          <w:numId w:val="1003"/>
        </w:numPr>
        <w:pStyle w:val="Compact"/>
      </w:pPr>
      <w:r>
        <w:t xml:space="preserve">2.3.9 Thảo luận tổng hợp</w:t>
      </w:r>
    </w:p>
    <w:p>
      <w:pPr>
        <w:numPr>
          <w:ilvl w:val="0"/>
          <w:numId w:val="1001"/>
        </w:numPr>
        <w:pStyle w:val="Compact"/>
      </w:pPr>
      <w:r>
        <w:rPr>
          <w:bCs/>
          <w:b/>
        </w:rPr>
        <w:t xml:space="preserve">2.4 Kết luận</w:t>
      </w:r>
    </w:p>
    <w:p>
      <w:pPr>
        <w:numPr>
          <w:ilvl w:val="1"/>
          <w:numId w:val="1004"/>
        </w:numPr>
        <w:pStyle w:val="Compact"/>
      </w:pPr>
      <w:r>
        <w:t xml:space="preserve">2.4.1 Kết luận chính</w:t>
      </w:r>
    </w:p>
    <w:p>
      <w:pPr>
        <w:numPr>
          <w:ilvl w:val="1"/>
          <w:numId w:val="1004"/>
        </w:numPr>
        <w:pStyle w:val="Compact"/>
      </w:pPr>
      <w:r>
        <w:t xml:space="preserve">2.4.2 Hàm ý và đề xuất</w:t>
      </w:r>
    </w:p>
    <w:p>
      <w:pPr>
        <w:numPr>
          <w:ilvl w:val="0"/>
          <w:numId w:val="1001"/>
        </w:numPr>
        <w:pStyle w:val="Compact"/>
      </w:pPr>
      <w:r>
        <w:t xml:space="preserve">Tài liệu tham khảo</w:t>
      </w:r>
    </w:p>
    <w:p>
      <w:pPr>
        <w:numPr>
          <w:ilvl w:val="0"/>
          <w:numId w:val="1001"/>
        </w:numPr>
        <w:pStyle w:val="Compact"/>
      </w:pPr>
      <w:r>
        <w:t xml:space="preserve">Phụ lục A — Phạm vi nhóm dữ liệu WBES</w:t>
      </w:r>
    </w:p>
    <w:p>
      <w:r>
        <w:pict>
          <v:rect style="width:0;height:1.5pt" o:hralign="center" o:hrstd="t" o:hr="t"/>
        </w:pict>
      </w:r>
    </w:p>
    <w:bookmarkEnd w:id="23"/>
    <w:bookmarkStart w:id="24" w:name="danh-mục-bảng"/>
    <w:p>
      <w:pPr>
        <w:pStyle w:val="Heading2"/>
      </w:pPr>
      <w:r>
        <w:t xml:space="preserve">DANH MỤC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47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pattern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theo phân nhóm con thể chế</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 — Δ điểm phần trăm 2018–2025 so với 2009–2012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Phân nhóm con Emerging — số liệu tổng hợp 2009–2025</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14 quốc gia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tiểu cảnh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(n=101.185)</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Pattern giới tính trong lãnh đạo cấp cao và sở hữu — phân tầng theo khu vực</w:t>
            </w:r>
          </w:p>
        </w:tc>
        <w:tc>
          <w:tcPr/>
          <w:p>
            <w:pPr>
              <w:pStyle w:val="Compact"/>
              <w:jc w:val="left"/>
            </w:pPr>
            <w:r>
              <w:t xml:space="preserve">2.3</w:t>
            </w:r>
          </w:p>
        </w:tc>
      </w:tr>
    </w:tbl>
    <w:p>
      <w:r>
        <w:pict>
          <v:rect style="width:0;height:1.5pt" o:hralign="center" o:hrstd="t" o:hr="t"/>
        </w:pict>
      </w:r>
    </w:p>
    <w:bookmarkEnd w:id="24"/>
    <w:bookmarkStart w:id="25" w:name="danh-mục-hình"/>
    <w:p>
      <w:pPr>
        <w:pStyle w:val="Heading2"/>
      </w:pPr>
      <w:r>
        <w:t xml:space="preserve">DANH MỤC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2.3.3.1</w:t>
            </w:r>
          </w:p>
        </w:tc>
        <w:tc>
          <w:tcPr/>
          <w:p>
            <w:pPr>
              <w:pStyle w:val="Compact"/>
              <w:jc w:val="left"/>
            </w:pPr>
            <w:r>
              <w:t xml:space="preserve">Phân bố mẫu 101.185 doanh nghiệp xuyên 17 năm (2009–2025)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pool 5 phân nhóm con thể chế (n=101.185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theo 6 phân nhóm con (kernel density, n=101.185)</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2009–2012 vs 2018–2025 (Δ điểm phần trăm 5 chỉ số)</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phân nhóm con (n=101.185)</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Mongolia: Evolution 2009–2025 (4 đợt khảo sát WBES)</w:t>
            </w:r>
          </w:p>
        </w:tc>
        <w:tc>
          <w:tcPr/>
          <w:p>
            <w:pPr>
              <w:pStyle w:val="Compact"/>
              <w:jc w:val="left"/>
            </w:pPr>
            <w:r>
              <w:t xml:space="preserve">2.3</w:t>
            </w:r>
          </w:p>
        </w:tc>
      </w:tr>
    </w:tbl>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 Capability Model</w:t>
            </w:r>
          </w:p>
        </w:tc>
        <w:tc>
          <w:tcPr/>
          <w:p>
            <w:pPr>
              <w:pStyle w:val="Compact"/>
              <w:jc w:val="left"/>
            </w:pPr>
            <w:r>
              <w:t xml:space="preserve">Mô hình năng lực số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6"/>
    <w:bookmarkStart w:id="32" w:name="giới-thiệu"/>
    <w:p>
      <w:pPr>
        <w:pStyle w:val="Heading2"/>
      </w:pPr>
      <w:r>
        <w:t xml:space="preserve">2.1 GIỚI THIỆU</w:t>
      </w:r>
    </w:p>
    <w:bookmarkStart w:id="27" w:name="đặt-vấn-đề-và-tính-cấp-thiết"/>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 thịnh vượng 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w:t>
      </w:r>
      <w:r>
        <w:t xml:space="preserve">— IMF (2026, tháng 4) điều chỉnh giảm tăng trưởng toàn cầu xuống 3,1% năm 2026; ADB (2026, tháng 4) dự báo Pacific 3,4%, Đông Nam Á 4,7%, Việt Nam 7,0%. Riêng Việt Nam, ADB (2026, tháng 4) ghi nhận GDP lịch sử 2025 đạt 8,0% và cập nhật dự báo 7,2% (2026) → 7,0% (2027).</w:t>
      </w:r>
      <w:r>
        <w:t xml:space="preserve"> </w:t>
      </w:r>
      <w:r>
        <w:rPr>
          <w:bCs/>
          <w:b/>
        </w:rPr>
        <w:t xml:space="preserve">Lớp thứ bảy là bất định chính sách thuế quan Mỹ 2026</w:t>
      </w:r>
      <w:r>
        <w:t xml:space="preserve"> </w:t>
      </w:r>
      <w:r>
        <w:t xml:space="preserve">— Mỹ chiếm xấp xỉ 30% tổng kim ngạch xuất khẩu Việt Nam; thuế toàn cầu 10% tạm thời tạo áp lực kép: hiệu ứng front-loading ngắn hạn và trì hoãn đầu tư dài hạn.</w:t>
      </w:r>
    </w:p>
    <w:p>
      <w:pPr>
        <w:pStyle w:val="BodyText"/>
      </w:pPr>
      <w:r>
        <w:t xml:space="preserve">Trong bối cảnh đó, hệ thống thông tin về hiệu quả doanh nghiệp châu Á còn phân mảnh. World Bank Enterprise Surveys (WBES) là cơ sở dữ liệu vi mô tin cậy nhất hiện có (World Bank Enterprise Surveys, 2025). Đỗ và Phan (2026 — VEFR) đã mở rộng phạm vi WBES đến 17 nền kinh tế châu Á mới nổi với ~40.633 doanh nghiệp. Tuy nhiên, vẫn còn ít tổng hợp xuyên 47 nền kinh tế trên giai đoạn dài 2009–2025. Chuyên đề này lấp khoảng trống thực tiễn đó bằng cách tổng hợp dữ liệu</w:t>
      </w:r>
      <w:r>
        <w:t xml:space="preserve"> </w:t>
      </w:r>
      <w:r>
        <w:rPr>
          <w:bCs/>
          <w:b/>
        </w:rPr>
        <w:t xml:space="preserve">101.185 doanh nghiệp xuyên 47 nền kinh tế × 108 cặp quốc gia × năm × 14 mốc khảo sát</w:t>
      </w:r>
      <w:r>
        <w:t xml:space="preserve"> </w:t>
      </w:r>
      <w:r>
        <w:t xml:space="preserve">— gấp 2,5 lần phạm vi của Đỗ &amp; Phan (2026 — VEFR).</w:t>
      </w:r>
    </w:p>
    <w:p>
      <w:pPr>
        <w:pStyle w:val="BodyText"/>
      </w:pPr>
      <w:r>
        <w:rPr>
          <w:bCs/>
          <w:b/>
        </w:rPr>
        <w:t xml:space="preserve">Ẩn dụ minh họa — Fiji và Singapore</w:t>
      </w:r>
      <w:r>
        <w:t xml:space="preserve">: Trường hợp Fiji 2025 với tỷ lệ website 74,8% vượt Singapore 66,1% là minh chứng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ở điều kiện biên</w:t>
      </w:r>
      <w:r>
        <w:t xml:space="preserve">”</w:t>
      </w:r>
      <w:r>
        <w:t xml:space="preserve">. Đối với Fiji và 6 SIDS Pacific khác, số hóa không phải công cụ tối ưu hóa chuỗi cung ứng mà là phương tiện sinh tồn — dẫn vào các luận điểm về điều kiện biên của mô hình U-curve và tiểu cảnh điển hình SIDS Pacific trong phần 2.3.</w:t>
      </w:r>
    </w:p>
    <w:bookmarkEnd w:id="27"/>
    <w:bookmarkStart w:id="28" w:name="mục-tiêu-chuyên-đề"/>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mở rộng trường hợp biên;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5"/>
        </w:numPr>
        <w:pStyle w:val="Compact"/>
      </w:pPr>
      <w:r>
        <w:t xml:space="preserve">Hệ thống hóa khái niệm và đa chiều đo lường hiệu quả hoạt động kinh doanh trong văn liệu hiện hành;</w:t>
      </w:r>
    </w:p>
    <w:p>
      <w:pPr>
        <w:numPr>
          <w:ilvl w:val="0"/>
          <w:numId w:val="1005"/>
        </w:numPr>
        <w:pStyle w:val="Compact"/>
      </w:pPr>
      <w:r>
        <w:t xml:space="preserve">Đề xuất khung phân loại 6 phân nhóm con ICRV cho 47 nền kinh tế;</w:t>
      </w:r>
    </w:p>
    <w:p>
      <w:pPr>
        <w:numPr>
          <w:ilvl w:val="0"/>
          <w:numId w:val="1005"/>
        </w:numPr>
        <w:pStyle w:val="Compact"/>
      </w:pPr>
      <w:r>
        <w:t xml:space="preserve">Phân tích thực trạng đa chiều hiệu quả doanh nghiệp ở 41 nước châu Á (phạm vi chính) và so sánh với 7 SIDS Pacific (trường hợp biên);</w:t>
      </w:r>
    </w:p>
    <w:p>
      <w:pPr>
        <w:numPr>
          <w:ilvl w:val="0"/>
          <w:numId w:val="1005"/>
        </w:numPr>
        <w:pStyle w:val="Compact"/>
      </w:pPr>
      <w:r>
        <w:t xml:space="preserve">Nhận diện đặc điểm và yếu tố giải thích sơ bộ cho dị biệt hiệu quả giữa các phân nhóm;</w:t>
      </w:r>
    </w:p>
    <w:p>
      <w:pPr>
        <w:numPr>
          <w:ilvl w:val="0"/>
          <w:numId w:val="1005"/>
        </w:numPr>
        <w:pStyle w:val="Compact"/>
      </w:pPr>
      <w:r>
        <w:t xml:space="preserve">Đề xuất khoảng trống thực tiễn để định hướng nghiên cứu tiếp theo.</w:t>
      </w:r>
    </w:p>
    <w:bookmarkEnd w:id="28"/>
    <w:bookmarkStart w:id="29" w:name="nội-dung-và-phạm-vi-nghiên-cứu"/>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pool đáp ứng tiêu chí mẫu của WBES —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 41 nước châu Á thuần</w:t>
      </w:r>
      <w:r>
        <w:t xml:space="preserve">:</w:t>
      </w:r>
      <w:r>
        <w:t xml:space="preserve"> </w:t>
      </w:r>
      <w:r>
        <w:t xml:space="preserve">-</w:t>
      </w:r>
      <w:r>
        <w:t xml:space="preserve"> </w:t>
      </w:r>
      <w:r>
        <w:rPr>
          <w:bCs/>
          <w:b/>
        </w:rPr>
        <w:t xml:space="preserve">(i) Advanced đổi mới sáng tạo dẫn dắt (5 nước)</w:t>
      </w:r>
      <w:r>
        <w:t xml:space="preserve">: Singapore, Hong Kong SAR, Hàn Quốc, Đài Loan, Israel.</w:t>
      </w:r>
      <w:r>
        <w:t xml:space="preserve"> </w:t>
      </w:r>
      <w:r>
        <w:t xml:space="preserve">-</w:t>
      </w:r>
      <w:r>
        <w:t xml:space="preserve"> </w:t>
      </w:r>
      <w:r>
        <w:rPr>
          <w:bCs/>
          <w:b/>
        </w:rPr>
        <w:t xml:space="preserve">(ii) Advanced tài nguyên dẫn dắt (5 nước)</w:t>
      </w:r>
      <w:r>
        <w:t xml:space="preserve">: Saudi Arabia, Qatar, Kuwait, Bahrain, Brunei.</w:t>
      </w:r>
      <w:r>
        <w:t xml:space="preserve"> </w:t>
      </w:r>
      <w:r>
        <w:t xml:space="preserve">-</w:t>
      </w:r>
      <w:r>
        <w:t xml:space="preserve"> </w:t>
      </w:r>
      <w:r>
        <w:rPr>
          <w:bCs/>
          <w:b/>
        </w:rPr>
        <w:t xml:space="preserve">(iii) Trung bình cao — Upper-middle (6 nước)</w:t>
      </w:r>
      <w:r>
        <w:t xml:space="preserve">: Trung Quốc, Malaysia, Thái Lan, Kazakhstan, Armenia, Georgia.</w:t>
      </w:r>
      <w:r>
        <w:t xml:space="preserve"> </w:t>
      </w:r>
      <w:r>
        <w:t xml:space="preserve">-</w:t>
      </w:r>
      <w:r>
        <w:t xml:space="preserve"> </w:t>
      </w:r>
      <w:r>
        <w:rPr>
          <w:bCs/>
          <w:b/>
        </w:rPr>
        <w:t xml:space="preserve">(iv) Đang nổi — Emerging (7 nước)</w:t>
      </w:r>
      <w:r>
        <w:t xml:space="preserve">: Việt Nam, Indonesia, Philippines, Ấn Độ, Sri Lanka, Jordan, Mông Cổ.</w:t>
      </w:r>
      <w:r>
        <w:t xml:space="preserve"> </w:t>
      </w:r>
      <w:r>
        <w:t xml:space="preserve">-</w:t>
      </w:r>
      <w:r>
        <w:t xml:space="preserve"> </w:t>
      </w:r>
      <w:r>
        <w:rPr>
          <w:bCs/>
          <w:b/>
        </w:rPr>
        <w:t xml:space="preserve">(v) Cận biên — Frontier (17 nước)</w:t>
      </w:r>
      <w:r>
        <w:t xml:space="preserve">: Bangladesh, Pakistan, Lào, Campuchia, Myanmar, Nepal, Bhutan, Maldives, Uzbekistan, Tajikistan, Kyrgyz Republic, Turkmenistan, Afghanistan, Timor-Leste, Iraq, Lebanon, Yemen.</w:t>
      </w:r>
    </w:p>
    <w:p>
      <w:pPr>
        <w:pStyle w:val="BodyText"/>
      </w:pPr>
      <w:r>
        <w:rPr>
          <w:bCs/>
          <w:b/>
        </w:rPr>
        <w:t xml:space="preserve">B. Trường hợp biên mở rộng — 7 SIDS Thái Bình Dương</w:t>
      </w:r>
      <w:r>
        <w:t xml:space="preserve"> </w:t>
      </w:r>
      <w:r>
        <w:t xml:space="preserve">(n=1.371, 1,4% pool): Fiji, Papua New Guinea, Solomon Islands, Tonga, Vanuatu, Samoa, Kiribati (2025).</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Ba thế hệ schema WBES: PICS3 (2009–2012, n=14.335), Standardized (2013–2017, n=25.046), BREADY/BEE/EAP Core (2018–2025, n=61.804).</w:t>
      </w:r>
    </w:p>
    <w:bookmarkEnd w:id="29"/>
    <w:bookmarkStart w:id="30" w:name="giới-hạn-nghiên-cứu"/>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ước lượng biến công cụ từ nghiên cứu Việt Nam và không thể khái quát trực tiếp sang 47 nền kinh tế.</w:t>
      </w:r>
    </w:p>
    <w:p>
      <w:pPr>
        <w:pStyle w:val="BodyText"/>
      </w:pPr>
      <w:r>
        <w:rPr>
          <w:bCs/>
          <w:b/>
        </w:rPr>
        <w:t xml:space="preserve">(2) Chỉ số áp dụng số bị giới hạn ở Tier-1 và Tier-2</w:t>
      </w:r>
      <w:r>
        <w:t xml:space="preserve">: Bộ câu hỏi PICS3/Standardized chỉ có website nhị phân (Tier-1). BREADY có Tier-2 nhưng không đo Tier-3/4. Chuyên đề chỉ phát biểu về phần bù Tier-1/2,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 trọng số tối ưu có thể khác nhau giữa các nhóm ICRV.</w:t>
      </w:r>
    </w:p>
    <w:p>
      <w:pPr>
        <w:pStyle w:val="BodyText"/>
      </w:pPr>
      <w:r>
        <w:rPr>
          <w:bCs/>
          <w:b/>
        </w:rPr>
        <w:t xml:space="preserve">(4) Thiếu một số biến lãnh đạo trong các sóng khảo sát cũ</w:t>
      </w:r>
      <w:r>
        <w:t xml:space="preserve">: Biến kinh nghiệm quản lý và giới tính lãnh đạo không có đủ trong tất cả 14 sóng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w:t>
      </w:r>
      <w:r>
        <w:t xml:space="preserve"> </w:t>
      </w:r>
      <w:r>
        <w:t xml:space="preserve">“</w:t>
      </w:r>
      <w:r>
        <w:t xml:space="preserve">hậu đại dịch kết hợp tăng tốc số</w:t>
      </w:r>
      <w:r>
        <w:t xml:space="preserve">”</w:t>
      </w:r>
      <w:r>
        <w:t xml:space="preserve">.</w:t>
      </w:r>
    </w:p>
    <w:p>
      <w:pPr>
        <w:pStyle w:val="BodyText"/>
      </w:pPr>
      <w:r>
        <w:rPr>
          <w:bCs/>
          <w:b/>
        </w:rPr>
        <w:t xml:space="preserve">(6) Phạm vi SIDS chưa đầy đủ</w:t>
      </w:r>
      <w:r>
        <w:t xml:space="preserve">: 7/~52 SIDS theo UNCTAD.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Tier-1 giống nhau nhưng cường độ số thực tế khác nhau. Hiệu ứng cố định ngành kiểm soát được một phần nhưng không giải quyết triệt để vấn đề này.</w:t>
      </w:r>
    </w:p>
    <w:bookmarkEnd w:id="30"/>
    <w:bookmarkStart w:id="31" w:name="ý-nghĩa-khoa-học-và-thực-tiễn"/>
    <w:p>
      <w:pPr>
        <w:pStyle w:val="Heading3"/>
      </w:pPr>
      <w:r>
        <w:t xml:space="preserve">2.1.5 Ý nghĩa khoa học và thực tiễn</w:t>
      </w:r>
    </w:p>
    <w:p>
      <w:pPr>
        <w:pStyle w:val="FirstParagraph"/>
      </w:pPr>
      <w:r>
        <w:rPr>
          <w:bCs/>
          <w:b/>
        </w:rPr>
        <w:t xml:space="preserve">Bốn đóng góp phạm vi chính (41 nước châu Á)</w:t>
      </w:r>
      <w:r>
        <w:t xml:space="preserve">:</w:t>
      </w:r>
    </w:p>
    <w:p>
      <w:pPr>
        <w:numPr>
          <w:ilvl w:val="0"/>
          <w:numId w:val="1006"/>
        </w:numPr>
      </w:pPr>
      <w:r>
        <w:rPr>
          <w:bCs/>
          <w:b/>
        </w:rPr>
        <w:t xml:space="preserve">Bức tranh thực trạng đa chiều</w:t>
      </w:r>
      <w:r>
        <w:t xml:space="preserve"> </w:t>
      </w:r>
      <w:r>
        <w:t xml:space="preserve">cho hiệu quả doanh nghiệp châu Á 2009–2025 — phạm vi rộng nhất trong văn liệu kinh doanh quốc tế hiện hành (Wu et al., 2022 dừng ở 2020; Arte &amp; Larimo, 2022 dừng ở 2019).</w:t>
      </w:r>
    </w:p>
    <w:p>
      <w:pPr>
        <w:numPr>
          <w:ilvl w:val="0"/>
          <w:numId w:val="1006"/>
        </w:numPr>
      </w:pPr>
      <w:r>
        <w:rPr>
          <w:bCs/>
          <w:b/>
        </w:rPr>
        <w:t xml:space="preserve">Phân nhóm con Advanced</w:t>
      </w:r>
      <w:r>
        <w:t xml:space="preserve"> </w:t>
      </w:r>
      <w:r>
        <w:t xml:space="preserve">(innovation-driven so với resource-driven) — phát hiện lý thuyết mới chưa có trong văn liệu hiện hành. Tỷ số phân tán Singapore (1,03) so với Vùng Vịnh (0,49) ≈ 2,1 lần phản ánh hai cơ chế tăng trưởng hoàn toàn khác nhau.</w:t>
      </w:r>
    </w:p>
    <w:p>
      <w:pPr>
        <w:numPr>
          <w:ilvl w:val="0"/>
          <w:numId w:val="1006"/>
        </w:numPr>
      </w:pPr>
      <w:r>
        <w:rPr>
          <w:bCs/>
          <w:b/>
        </w:rPr>
        <w:t xml:space="preserve">Nhảy vọt số</w:t>
      </w:r>
      <w:r>
        <w:t xml:space="preserve"> </w:t>
      </w:r>
      <w:r>
        <w:t xml:space="preserve">ở Frontier và Emerging châu Á 2018–2025 — mở rộng pattern từ 17 nước lên 47 nước. Phân tách Tier-1 (website nhị phân, đã bão hòa ở Advanced) và Tier-2 (tổng hợp đa thành phần, đang phát triển ở Emerging/Frontier).</w:t>
      </w:r>
    </w:p>
    <w:p>
      <w:pPr>
        <w:numPr>
          <w:ilvl w:val="0"/>
          <w:numId w:val="1006"/>
        </w:numPr>
      </w:pPr>
      <w:r>
        <w:rPr>
          <w:bCs/>
          <w:b/>
        </w:rPr>
        <w:t xml:space="preserve">Bằng chứng cho khung lý thuyết phi tuyến và điều tiết đa tầng</w:t>
      </w:r>
      <w:r>
        <w:t xml:space="preserve"> </w:t>
      </w:r>
      <w:r>
        <w:t xml:space="preserve">— bốn lần đảo dấu xuyên phân nhóm con thể chế là cơ sở thực tiễn cho các giả thuyết của Chuyên đề 2.</w:t>
      </w:r>
    </w:p>
    <w:p>
      <w:pPr>
        <w:pStyle w:val="FirstParagraph"/>
      </w:pPr>
      <w:r>
        <w:rPr>
          <w:bCs/>
          <w:b/>
        </w:rPr>
        <w:t xml:space="preserve">Một đóng góp trường hợp biên mở rộng (SIDS Pacific)</w:t>
      </w:r>
      <w:r>
        <w:t xml:space="preserve">:</w:t>
      </w:r>
    </w:p>
    <w:p>
      <w:pPr>
        <w:numPr>
          <w:ilvl w:val="0"/>
          <w:numId w:val="1007"/>
        </w:numPr>
        <w:pStyle w:val="Compact"/>
      </w:pPr>
      <w:r>
        <w:rPr>
          <w:bCs/>
          <w:b/>
        </w:rPr>
        <w:t xml:space="preserve">Chi phí buộc phải quốc tế hóa</w:t>
      </w:r>
      <w:r>
        <w:t xml:space="preserve"> </w:t>
      </w:r>
      <w:r>
        <w:t xml:space="preserve">ở 7 SIDS Thái Bình Dương (Briguglio, 1995; Bertram, 2006) — bằng chứng cấp doanh nghiệp đầu tiên trong văn liệu kinh doanh quốc tế. Kiribati 2025 là trường hợp cực đoan nhất với FSTS 1,03%, FDI 0,7%, website 18,7%.</w:t>
      </w:r>
    </w:p>
    <w:p>
      <w:r>
        <w:pict>
          <v:rect style="width:0;height:1.5pt" o:hralign="center" o:hrstd="t" o:hr="t"/>
        </w:pict>
      </w:r>
    </w:p>
    <w:bookmarkEnd w:id="31"/>
    <w:bookmarkEnd w:id="32"/>
    <w:bookmarkStart w:id="33" w:name="phương-pháp-nghiên-cứu"/>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 7 hình); (c) phân tích hai biến.</w:t>
      </w:r>
    </w:p>
    <w:p>
      <w:pPr>
        <w:pStyle w:val="BodyText"/>
      </w:pPr>
      <w:r>
        <w:rPr>
          <w:bCs/>
          <w:b/>
        </w:rPr>
        <w:t xml:space="preserve">Nguồn dữ liệu</w:t>
      </w:r>
      <w:r>
        <w:t xml:space="preserve">: World Bank Enterprise Surveys (WBES) — cơ sở dữ liệu vi mô doanh nghiệp cấp quốc gia lớn nhất toàn cầu, được thiết kế theo phương pháp lấy mẫu xác suất phân tầng đảm bảo tính đại diện (World Bank Enterprise Surveys, 2025). Pool tổng hợp gồm</w:t>
      </w:r>
      <w:r>
        <w:t xml:space="preserve"> </w:t>
      </w:r>
      <w:r>
        <w:rPr>
          <w:bCs/>
          <w:b/>
        </w:rPr>
        <w:t xml:space="preserve">101.185 doanh nghiệp</w:t>
      </w:r>
      <w:r>
        <w:t xml:space="preserve">, 47 nền kinh tế, 108 cặp quốc gia × năm, 14 sóng khảo sát, 2009–2025.</w:t>
      </w:r>
    </w:p>
    <w:p>
      <w:pPr>
        <w:pStyle w:val="BodyText"/>
      </w:pPr>
      <w:r>
        <w:rPr>
          <w:bCs/>
          <w:b/>
        </w:rPr>
        <w:t xml:space="preserve">Các biến đo lường chính</w:t>
      </w:r>
      <w:r>
        <w:t xml:space="preserve">:</w:t>
      </w:r>
    </w:p>
    <w:p>
      <w:pPr>
        <w:numPr>
          <w:ilvl w:val="0"/>
          <w:numId w:val="1008"/>
        </w:numPr>
      </w:pPr>
      <w:r>
        <w:rPr>
          <w:bCs/>
          <w:b/>
        </w:rPr>
        <w:t xml:space="preserve">Biến năng suất lao động (LP)</w:t>
      </w:r>
      <w:r>
        <w:t xml:space="preserve">:</w:t>
      </w:r>
      <w:r>
        <w:t xml:space="preserve"> </w:t>
      </w:r>
      <w:r>
        <w:rPr>
          <w:rStyle w:val="VerbatimChar"/>
        </w:rPr>
        <w:t xml:space="preserve">LP = ln(doanh thu bán hàng hàng năm PPP / số lao động toàn thời gian)</w:t>
      </w:r>
      <w:r>
        <w:t xml:space="preserve">. Giá trị LP được winsorize ở mức 1/99 phân vị trong cụm quốc gia × năm để kiểm soát ngoại lai, và được điều chỉnh theo sức mua tương đương (PPP) nhằm đảm bảo tính so sánh xuyên quốc gia.</w:t>
      </w:r>
    </w:p>
    <w:p>
      <w:pPr>
        <w:numPr>
          <w:ilvl w:val="0"/>
          <w:numId w:val="1008"/>
        </w:numPr>
      </w:pPr>
      <w:r>
        <w:rPr>
          <w:bCs/>
          <w:b/>
        </w:rPr>
        <w:t xml:space="preserve">Biến FSTS (Foreign Trade Sales to Total Sales)</w:t>
      </w:r>
      <w:r>
        <w:t xml:space="preserve">:</w:t>
      </w:r>
      <w:r>
        <w:t xml:space="preserve"> </w:t>
      </w:r>
      <w:r>
        <w:rPr>
          <w:rStyle w:val="VerbatimChar"/>
        </w:rPr>
        <w:t xml:space="preserve">FSTS = (d3b + d3c) / 100</w:t>
      </w:r>
      <w:r>
        <w:t xml:space="preserve">, trong đó d3b là tỷ lệ doanh thu xuất khẩu trực tiếp và d3c là tỷ lệ doanh thu xuất khẩu gián tiếp. Quan sát thiếu FSTS được gán bằng 0 nếu doanh nghiệp không xuất khẩu (d3a =</w:t>
      </w:r>
      <w:r>
        <w:t xml:space="preserve"> </w:t>
      </w:r>
      <w:r>
        <w:t xml:space="preserve">“</w:t>
      </w:r>
      <w:r>
        <w:t xml:space="preserve">Không</w:t>
      </w:r>
      <w:r>
        <w:t xml:space="preserve">”</w:t>
      </w:r>
      <w:r>
        <w:t xml:space="preserve">); gán missing nếu không trả lời.</w:t>
      </w:r>
    </w:p>
    <w:p>
      <w:pPr>
        <w:numPr>
          <w:ilvl w:val="0"/>
          <w:numId w:val="1008"/>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≥3 non-missing để tính tổng hợp.</w:t>
      </w:r>
    </w:p>
    <w:p>
      <w:pPr>
        <w:numPr>
          <w:ilvl w:val="0"/>
          <w:numId w:val="1008"/>
        </w:numPr>
      </w:pPr>
      <w:r>
        <w:rPr>
          <w:bCs/>
          <w:b/>
        </w:rPr>
        <w:t xml:space="preserve">Biến DAI (Digital Adoption Index)</w:t>
      </w:r>
      <w:r>
        <w:t xml:space="preserve">: Spec 1 (toàn bộ 2009–2025): website nhị phân (c22b/e8) —</w:t>
      </w:r>
      <w:r>
        <w:t xml:space="preserve"> </w:t>
      </w:r>
      <w:r>
        <w:rPr>
          <w:bCs/>
          <w:b/>
        </w:rPr>
        <w:t xml:space="preserve">Tier-1 Sự hiện diện số cơ bản</w:t>
      </w:r>
      <w:r>
        <w:t xml:space="preserve">. Spec 2 (BREADY 2018+ trở lên): tổng hợp chuẩn hóa z website + cường độ thanh toán điện tử (k33/k38) —</w:t>
      </w:r>
      <w:r>
        <w:t xml:space="preserve"> </w:t>
      </w:r>
      <w:r>
        <w:rPr>
          <w:bCs/>
          <w:b/>
        </w:rPr>
        <w:t xml:space="preserve">Tier-2 Chuyển đổi số cơ bản</w:t>
      </w:r>
      <w:r>
        <w:t xml:space="preserve">.</w:t>
      </w:r>
    </w:p>
    <w:p>
      <w:pPr>
        <w:pStyle w:val="FirstParagraph"/>
      </w:pPr>
      <w:r>
        <w:rPr>
          <w:bCs/>
          <w:b/>
        </w:rPr>
        <w:t xml:space="preserve">Hài hòa hóa xuyên ba thế hệ schema</w:t>
      </w:r>
      <w:r>
        <w:t xml:space="preserve">: World Bank Enterprise Surveys trải qua ba thế hệ schema trong giai đoạn nghiên cứu. Thế hệ 1 — PICS3/MENA-WBES (2009–2012, n=14.171): bảng hỏi PICS3 cho khu vực Đông Nam Á và Trung Á. Thế hệ 2 — Standardized (2013–2017, n=24.564): áp dụng đồng nhất xuyên toàn cầu từ 2013. Thế hệ 3 — BREADY/BEE/EAP Core (2018–2025, n=62.450): tích hợp thanh toán điện tử, điện toán đám mây, ngân hàng di động vào các module bổ sung, gây</w:t>
      </w:r>
      <w:r>
        <w:t xml:space="preserve"> </w:t>
      </w:r>
      <w:r>
        <w:rPr>
          <w:bCs/>
          <w:b/>
        </w:rPr>
        <w:t xml:space="preserve">đứt gãy schema</w:t>
      </w:r>
      <w:r>
        <w:t xml:space="preserve"> </w:t>
      </w:r>
      <w:r>
        <w:t xml:space="preserve">quan sát được: Ấn Độ FSTS sụt 7,7%→2,7% trong đợt 2025.</w:t>
      </w:r>
    </w:p>
    <w:p>
      <w:pPr>
        <w:pStyle w:val="BodyText"/>
      </w:pPr>
      <w:r>
        <w:rPr>
          <w:bCs/>
          <w:b/>
        </w:rPr>
        <w:t xml:space="preserve">Nguyên tắc minh bạch dữ liệu</w:t>
      </w:r>
      <w:r>
        <w:t xml:space="preserve"> </w:t>
      </w:r>
      <w:r>
        <w:t xml:space="preserve">(Aguinis et al., 2019): chuyên đề trình bày rõ (i) định nghĩa tổng thể (47 nền kinh tế châu Á và Thái Bình Dương, phân tách 41 và 7); (ii) quy trình lấy mẫu (lấy mẫu chính thức WBES); (iii) lý giải quy mô mẫu (pool 101.185);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w:t>
      </w:r>
    </w:p>
    <w:p>
      <w:pPr>
        <w:pStyle w:val="BodyText"/>
      </w:pPr>
      <w:r>
        <w:rPr>
          <w:bCs/>
          <w:b/>
        </w:rPr>
        <w:t xml:space="preserve">Hệ thống phòng thủ ba tầng cho đứt gãy schema BREADY 2025</w:t>
      </w:r>
      <w:r>
        <w:t xml:space="preserve">: Đợt 2025 (n=16.979 doanh nghiệp, 16,8% pool) sử dụng schema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schema tĩnh; (3b) mô hình neo (anchor model) — chạy hồi quy với dữ liệu đến 2024, khóa hệ số, kiểm định ổn định với dữ liệu đầy đủ bằng Chow test; (3c) panel hậu đại dịch độc lập — tách 2025 thành tập xác thực ngoài mẫu cho kỷ nguyên hậu COVID và AI.</w:t>
      </w:r>
    </w:p>
    <w:p>
      <w:r>
        <w:pict>
          <v:rect style="width:0;height:1.5pt" o:hralign="center" o:hrstd="t" o:hr="t"/>
        </w:pict>
      </w:r>
    </w:p>
    <w:bookmarkEnd w:id="33"/>
    <w:bookmarkStart w:id="76" w:name="nội-dung-nghiên-cứu"/>
    <w:p>
      <w:pPr>
        <w:pStyle w:val="Heading2"/>
      </w:pPr>
      <w:r>
        <w:t xml:space="preserve">2.3 NỘI DUNG NGHIÊN CỨU</w:t>
      </w:r>
    </w:p>
    <w:bookmarkStart w:id="40" w:name="Xb7f628376877e6b3394a2ce7cb98209bea18ab9"/>
    <w:p>
      <w:pPr>
        <w:pStyle w:val="Heading3"/>
      </w:pPr>
      <w:r>
        <w:t xml:space="preserve">2.3.1 Cơ sở lý luận về hiệu quả hoạt động kinh doanh</w:t>
      </w:r>
    </w:p>
    <w:bookmarkStart w:id="34" w:name="khái-niệm-hiệu-quả-hoạt-động-kinh-doanh"/>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w:t>
      </w:r>
      <w:r>
        <w:t xml:space="preserve">— doanh thu, lợi nhuận, tỷ suất sinh lợi; và (b)</w:t>
      </w:r>
      <w:r>
        <w:t xml:space="preserve"> </w:t>
      </w:r>
      <w:r>
        <w:rPr>
          <w:bCs/>
          <w:b/>
        </w:rPr>
        <w:t xml:space="preserve">hiệu quả hoạt động rộng hơn</w:t>
      </w:r>
      <w:r>
        <w:t xml:space="preserve"> </w:t>
      </w:r>
      <w:r>
        <w:t xml:space="preserve">—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w:t>
      </w:r>
      <w:r>
        <w:t xml:space="preserve">— đo bằng giá trị gia tăng trên lao động hoặc doanh thu trên lao động —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nhằm đảm bảo tính so sánh xuyên quốc gia (World Bank Enterprise Surveys, 2025).</w:t>
      </w:r>
    </w:p>
    <w:bookmarkEnd w:id="34"/>
    <w:bookmarkStart w:id="35" w:name="bốn-chiều-đo-lường-hiệu-quả"/>
    <w:p>
      <w:pPr>
        <w:pStyle w:val="Heading4"/>
      </w:pPr>
      <w:r>
        <w:t xml:space="preserve">2.3.1.2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 Năng suất lao động</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xuyên suốt phân tích, được lựa chọn vì: (a) có thể tính cho hầu hết các nền kinh tế trong pool; (b) không bị nhiễu bởi cơ cấu thuế và chính sách chuyển giá quốc gia; (c) có giá trị tham chiếu rõ ràng trong văn liệu quốc tế (Hsieh &amp; Klenow, 2009, 2014).</w:t>
      </w:r>
    </w:p>
    <w:p>
      <w:pPr>
        <w:pStyle w:val="BodyText"/>
      </w:pPr>
      <w:r>
        <w:rPr>
          <w:bCs/>
          <w:b/>
        </w:rPr>
        <w:t xml:space="preserve">Chiều 2 —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 chiều này mang tính hỗ trợ thay vì chủ đạo.</w:t>
      </w:r>
    </w:p>
    <w:p>
      <w:pPr>
        <w:pStyle w:val="BodyText"/>
      </w:pPr>
      <w:r>
        <w:rPr>
          <w:bCs/>
          <w:b/>
        </w:rPr>
        <w:t xml:space="preserve">Chiều 3 —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 quan trọng cho mục tiêu chính sách.</w:t>
      </w:r>
    </w:p>
    <w:p>
      <w:pPr>
        <w:pStyle w:val="BodyText"/>
      </w:pPr>
      <w:r>
        <w:rPr>
          <w:bCs/>
          <w:b/>
        </w:rPr>
        <w:t xml:space="preserve">Chiều 4 — Đổi mới sáng tạo và cấu trúc doanh nghiệp</w:t>
      </w:r>
      <w:r>
        <w:t xml:space="preserve">. Biến đo lường: (a) R&amp;D (tỷ lệ doanh nghiệp có chi tiêu R&amp;D dương); (b) đổi mới sản phẩm mới; (c) đổi mới quy trình mới; (d) chứng nhận ISO; (e) website (Tier-1 Sự hiện diện số cơ bản); (f) FDI ≥10% (cơ cấu sở hữu). Chiều thứ tư phản ánh</w:t>
      </w:r>
      <w:r>
        <w:t xml:space="preserve"> </w:t>
      </w:r>
      <w:r>
        <w:rPr>
          <w:bCs/>
          <w:b/>
        </w:rPr>
        <w:t xml:space="preserve">năng lực tương lai</w:t>
      </w:r>
      <w:r>
        <w:t xml:space="preserve"> </w:t>
      </w:r>
      <w:r>
        <w:t xml:space="preserve">— khả năng duy trì hiệu quả trong dài hạn qua đổi mới và nâng cấp công nghệ.</w:t>
      </w:r>
    </w:p>
    <w:bookmarkEnd w:id="35"/>
    <w:bookmarkStart w:id="36" w:name="X8ad5236bf72b29f6383edeb4ee3559473689f28"/>
    <w:p>
      <w:pPr>
        <w:pStyle w:val="Heading4"/>
      </w:pPr>
      <w:r>
        <w:t xml:space="preserve">2.3.1.3 Năm meta-analysis lớn về quan hệ quốc tế hóa – hiệu quả (1980–2024)</w:t>
      </w:r>
    </w:p>
    <w:p>
      <w:pPr>
        <w:pStyle w:val="FirstParagraph"/>
      </w:pPr>
      <w:r>
        <w:t xml:space="preserve">Văn liệu về quan hệ quốc tế hóa → hiệu quả là một trong những dòng nghiên cứu tích lũy nhiều nhất trong lý thuyết kinh doanh quốc tế.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w:t>
      </w:r>
      <w:r>
        <w:t xml:space="preserve"> </w:t>
      </w:r>
      <w:r>
        <w:t xml:space="preserve">giai đoạn 1980–2005. Hệ số tương quan trung bình r=0,045 — tích cực nhưng nhỏ. Phát hiện chính: đo lường quốc tế hóa và hiệu quả rất không đồng nhất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Fan &amp; Chen (2022)</w:t>
      </w:r>
      <w:r>
        <w:t xml:space="preserve">: Cập nhật meta-analysis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và Tier-2 áp dụng số như biến điều tiết riêng biệt. Khoảng trống này là nền tảng cho phần thảo luận về các khoảng trống nghiên cứu trong mục 2.3.9.</w:t>
      </w:r>
    </w:p>
    <w:bookmarkEnd w:id="36"/>
    <w:bookmarkStart w:id="37" w:name="ba-khung-lý-thuyết-nền"/>
    <w:p>
      <w:pPr>
        <w:pStyle w:val="Heading4"/>
      </w:pPr>
      <w:r>
        <w:t xml:space="preserve">2.3.1.4 Ba khung lý thuyết nền</w:t>
      </w:r>
    </w:p>
    <w:p>
      <w:pPr>
        <w:pStyle w:val="FirstParagraph"/>
      </w:pPr>
      <w:r>
        <w:t xml:space="preserve">Ba khung lý thuyết cung cấp nền tảng giải thích cho các pattern thực trạng được quan sát:</w:t>
      </w:r>
    </w:p>
    <w:p>
      <w:pPr>
        <w:pStyle w:val="BodyText"/>
      </w:pPr>
      <w:r>
        <w:rPr>
          <w:bCs/>
          <w:b/>
        </w:rPr>
        <w:t xml:space="preserve">Khung 1 —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pattern FSTS thấp ở SIDS Pacific (6,3%) và FSTS cao liên kết FDI ở Việt Nam (23,2%) phù hợp với đường cong học hỏi Uppsala; (b) các công cụ số theo Banalieva &amp; Dhanaraj (2019) có thể rút ngắn lộ trình tiệm tiến ở giai đoạn đầu — nhưng cần Tier-2 để phát huy đầy đủ.</w:t>
      </w:r>
    </w:p>
    <w:p>
      <w:pPr>
        <w:pStyle w:val="BodyText"/>
      </w:pPr>
      <w:r>
        <w:rPr>
          <w:bCs/>
          <w:b/>
        </w:rPr>
        <w:t xml:space="preserve">Khung 2 —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 giải thích tại sao Advanced innovation-driven (ISO 29,9%, R&amp;D 16,7%)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 Lý thuyết thể chế</w:t>
      </w:r>
      <w:r>
        <w:t xml:space="preserve"> </w:t>
      </w:r>
      <w:r>
        <w:t xml:space="preserve">(North, 1990; Scott, 1995; Peng, 2001, 2003): Thể chế — luật pháp, chuẩn mực, quy tắc phi chính thức —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 lý giải tại sao quan hệ quốc tế hóa → hiệu quả không đồng nhất xuyên chế độ thể chế. Hàm ý: (a) bốn lần đảo dấu của hệ số FDI/FSTS/TCI/DAI xuyên 5 phân nhóm con ICRV (Bảng 2.3.8.1) là bằng chứng trực tiếp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 giải thích tại sao Việt Nam và Trung Quốc có gap lớn giữa hai tầng này; (c) khung ICRV 6 nhóm là sự vận hành hóa Lý thuyết thể chế theo hướng này.</w:t>
      </w:r>
    </w:p>
    <w:bookmarkEnd w:id="37"/>
    <w:bookmarkStart w:id="38" w:name="X1a8b5920726a715638e9b692b5093988b2836eb"/>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 —</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 —</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Upper-middle —</w:t>
      </w:r>
      <w:r>
        <w:t xml:space="preserve"> </w:t>
      </w:r>
      <w:r>
        <w:rPr>
          <w:bCs/>
          <w:b/>
        </w:rPr>
        <w:t xml:space="preserve">không</w:t>
      </w:r>
      <w:r>
        <w:t xml:space="preserve"> </w:t>
      </w:r>
      <w:r>
        <w:t xml:space="preserve">thỏa mãn đầy đủ ở SIDS cô lập (Kiribati ISO 1,3%, FDI 0,7%) hay vùng xung đột Frontier; nhóm Emerging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w:t>
            </w:r>
          </w:p>
        </w:tc>
        <w:tc>
          <w:tcPr/>
          <w:p>
            <w:pPr>
              <w:pStyle w:val="Compact"/>
              <w:jc w:val="left"/>
            </w:pPr>
            <w:r>
              <w:t xml:space="preserve">U-curve vận hành nhưng có bẫy chuyển hướng nguồn lực —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không vận hành — quốc tế hóa là buộc phải; Fiji website 74,8% &gt; Singapore 66% là minh chứng</w:t>
            </w:r>
          </w:p>
        </w:tc>
      </w:tr>
    </w:tbl>
    <w:bookmarkEnd w:id="38"/>
    <w:bookmarkStart w:id="39" w:name="X095aaec1a623b630743abb29fda2315c3c0a6ca"/>
    <w:p>
      <w:pPr>
        <w:pStyle w:val="Heading4"/>
      </w:pPr>
      <w:r>
        <w:t xml:space="preserve">2.3.1.6 Khung 4 Tầng chuyển đổi số và Mô hình CDCM</w:t>
      </w:r>
    </w:p>
    <w:p>
      <w:pPr>
        <w:pStyle w:val="FirstParagraph"/>
      </w:pPr>
      <w:r>
        <w:rPr>
          <w:bCs/>
          <w:b/>
        </w:rPr>
        <w:t xml:space="preserve">Bốn tầng bậc số hóa theo Verhoef et al. (2021)</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pool 2009–2025)</w:t>
            </w:r>
          </w:p>
        </w:tc>
      </w:tr>
      <w:tr>
        <w:tc>
          <w:tcPr/>
          <w:p>
            <w:pPr>
              <w:pStyle w:val="Compact"/>
              <w:jc w:val="left"/>
            </w:pPr>
            <w:r>
              <w:rPr>
                <w:bCs/>
                <w:b/>
              </w:rPr>
              <w:t xml:space="preserve">Tier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Pool 101.185 doanh nghiệp WBES quan sát Tier 1–2, không Tier 3–4. Mọi lập luận về</w:t>
      </w:r>
      <w:r>
        <w:t xml:space="preserve"> </w:t>
      </w:r>
      <w:r>
        <w:t xml:space="preserve">“</w:t>
      </w:r>
      <w:r>
        <w:t xml:space="preserve">năng lực số</w:t>
      </w:r>
      <w:r>
        <w:t xml:space="preserve">”</w:t>
      </w:r>
      <w:r>
        <w:t xml:space="preserve"> </w:t>
      </w:r>
      <w:r>
        <w:t xml:space="preserve">phải hạn chế ở phạm vi</w:t>
      </w:r>
      <w:r>
        <w:t xml:space="preserve"> </w:t>
      </w:r>
      <w:r>
        <w:rPr>
          <w:bCs/>
          <w:b/>
        </w:rPr>
        <w:t xml:space="preserve">Áp dụng số nền tảng (Foundational Digital Adoption — FDA)</w:t>
      </w:r>
      <w:r>
        <w:t xml:space="preserve">.</w:t>
      </w:r>
    </w:p>
    <w:p>
      <w:pPr>
        <w:pStyle w:val="BodyText"/>
      </w:pPr>
      <w:r>
        <w:rPr>
          <w:bCs/>
          <w:b/>
        </w:rPr>
        <w:t xml:space="preserve">Mô hình Năng lực số phụ thuộc bối cảnh (CDCM)</w:t>
      </w:r>
      <w:r>
        <w:t xml:space="preserve"> </w:t>
      </w:r>
      <w:r>
        <w:t xml:space="preserve">— hợp nhất bằng chứng Singapore và Việt Nam:</w:t>
      </w:r>
    </w:p>
    <w:p>
      <w:pPr>
        <w:pStyle w:val="BodyText"/>
      </w:pPr>
      <w:r>
        <w:rPr>
          <w:bCs/>
          <w:b/>
        </w:rPr>
        <w:t xml:space="preserve">(a) Hình dạng đường cong quốc tế hóa – hiệu quả</w:t>
      </w:r>
      <w:r>
        <w:t xml:space="preserve">: Việt Nam → U ngược, điểm uốn ≈ 39–46% FSTS; Singapore → tuyến tính dương + bậc hai nhẹ, điểm uốn ≈ 82% FSTS.</w:t>
      </w:r>
    </w:p>
    <w:p>
      <w:pPr>
        <w:pStyle w:val="BodyText"/>
      </w:pPr>
      <w:r>
        <w:rPr>
          <w:bCs/>
          <w:b/>
        </w:rPr>
        <w:t xml:space="preserve">(b) Cơ chế DAI</w:t>
      </w:r>
      <w:r>
        <w:t xml:space="preserve">: Việt Nam (Tier 1 = website only) →</w:t>
      </w:r>
      <w:r>
        <w:t xml:space="preserve"> </w:t>
      </w:r>
      <w:r>
        <w:rPr>
          <w:bCs/>
          <w:b/>
        </w:rPr>
        <w:t xml:space="preserve">phụ thuộc giai đoạn</w:t>
      </w:r>
      <w:r>
        <w:t xml:space="preserve">: tương tác DAI×FSTS âm ở FSTS cao — Tier 1 trở thành điểm nghẽn. Singapore (Tier 1+2) →</w:t>
      </w:r>
      <w:r>
        <w:t xml:space="preserve"> </w:t>
      </w:r>
      <w:r>
        <w:rPr>
          <w:bCs/>
          <w:b/>
        </w:rPr>
        <w:t xml:space="preserve">mở rộng có điều kiện</w:t>
      </w:r>
      <w:r>
        <w:t xml:space="preserve">: tương tác DAI×FSTS² dương mạnh (β=3,119, p=0,005) — Tier 1+2 là đòn bẩy.</w:t>
      </w:r>
    </w:p>
    <w:p>
      <w:pPr>
        <w:pStyle w:val="BodyText"/>
      </w:pPr>
      <w:r>
        <w:rPr>
          <w:bCs/>
          <w:b/>
        </w:rPr>
        <w:t xml:space="preserve">(c) Vai trò TCI</w:t>
      </w:r>
      <w:r>
        <w:t xml:space="preserve">: Việt Nam —</w:t>
      </w:r>
      <w:r>
        <w:t xml:space="preserve"> </w:t>
      </w:r>
      <w:r>
        <w:rPr>
          <w:iCs/>
          <w:i/>
        </w:rPr>
        <w:t xml:space="preserve">lợi thế khan hiếm</w:t>
      </w:r>
      <w:r>
        <w:t xml:space="preserve"> </w:t>
      </w:r>
      <w:r>
        <w:t xml:space="preserve">(TCI z biến công cụ β=1,639, p&lt;0,001, ước lượng 2SLS vững). Singapore —</w:t>
      </w:r>
      <w:r>
        <w:t xml:space="preserve"> </w:t>
      </w:r>
      <w:r>
        <w:rPr>
          <w:iCs/>
          <w:i/>
        </w:rPr>
        <w:t xml:space="preserve">yếu tố vệ sinh</w:t>
      </w:r>
      <w:r>
        <w:t xml:space="preserve"> </w:t>
      </w:r>
      <w:r>
        <w:t xml:space="preserve">nâng sàn năng suất nhưng không điều tiết đường cong quốc tế hóa – hiệu quả.</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2.3.2 Khung phân loại thể chế ICRV</w:t>
            </w:r>
          </w:p>
        </w:tc>
      </w:tr>
      <w:tr>
        <w:tc>
          <w:tcPr/>
          <w:p>
            <w:pPr>
              <w:pStyle w:val="Compact"/>
              <w:jc w:val="left"/>
            </w:pPr>
            <w:r>
              <w:t xml:space="preserve">#### 2.3.2.1 Lý do phân loại</w:t>
            </w:r>
          </w:p>
        </w:tc>
      </w:tr>
      <w:tr>
        <w:tc>
          <w:tcPr/>
          <w:p>
            <w:pPr>
              <w:pStyle w:val="Compact"/>
              <w:jc w:val="left"/>
            </w:pPr>
            <w:r>
              <w:t xml:space="preserve">Châu Á không phải là một khối đồng nhất về thể chế. Các meta-analysis (Marano et al., 2016; Wu et al., 2022) đã ghi nhận rằng bối cảnh thể chế là biến điều tiết quan trọng nhất trong quan hệ quốc tế hóa → hiệu quả — nhưng không có nghiên cứu nào thiết lập hệ thống phân loại thể chế toàn diện cho 47 nền kinh tế châu Á. Khung phân loại ICRV (Institutional Context Regime Variation — Biến thiên chế độ thể chế) được đề xuất trong chuyên đề này nhằm lấp khoảng trống đó, dựa trên bốn nguyên tắc:</w:t>
            </w:r>
          </w:p>
        </w:tc>
      </w:tr>
      <w:tr>
        <w:tc>
          <w:tcPr/>
          <w:p>
            <w:pPr>
              <w:pStyle w:val="Compact"/>
              <w:jc w:val="left"/>
            </w:pPr>
            <w:r>
              <w:t xml:space="preserve">(a)</w:t>
            </w:r>
            <w:r>
              <w:t xml:space="preserve"> </w:t>
            </w:r>
            <w:r>
              <w:rPr>
                <w:bCs/>
                <w:b/>
              </w:rPr>
              <w:t xml:space="preserve">Tính phân biệt</w:t>
            </w:r>
            <w:r>
              <w:t xml:space="preserve">: mỗi nhóm phải có mô hình hiệu quả doanh nghiệp khác biệt thực sự — không chỉ khác nhau về mức GDP bình quân đầu người;</w:t>
            </w:r>
          </w:p>
        </w:tc>
      </w:tr>
      <w:tr>
        <w:tc>
          <w:tcPr/>
          <w:p>
            <w:pPr>
              <w:pStyle w:val="Compact"/>
              <w:jc w:val="left"/>
            </w:pPr>
            <w:r>
              <w:t xml:space="preserve">(b)</w:t>
            </w:r>
            <w:r>
              <w:t xml:space="preserve"> </w:t>
            </w:r>
            <w:r>
              <w:rPr>
                <w:bCs/>
                <w:b/>
              </w:rPr>
              <w:t xml:space="preserve">Tính đại diện lý thuyết</w:t>
            </w:r>
            <w:r>
              <w:t xml:space="preserve">: phân loại phải phản ánh được các cơ chế thể chế khác nhau — thể chế đổi mới sáng tạo, thể chế tài nguyên, thể chế chuyển đổi, thể chế MIRAB — theo Varieties of Capitalism (Hall &amp; Soskice, 2001) và Lý thuyết thể chế (North, 1990);</w:t>
            </w:r>
          </w:p>
        </w:tc>
      </w:tr>
      <w:tr>
        <w:tc>
          <w:tcPr/>
          <w:p>
            <w:pPr>
              <w:pStyle w:val="Compact"/>
              <w:jc w:val="left"/>
            </w:pPr>
            <w:r>
              <w:t xml:space="preserve">(c)</w:t>
            </w:r>
            <w:r>
              <w:t xml:space="preserve"> </w:t>
            </w:r>
            <w:r>
              <w:rPr>
                <w:bCs/>
                <w:b/>
              </w:rPr>
              <w:t xml:space="preserve">Tính khả dụng dữ liệu</w:t>
            </w:r>
            <w:r>
              <w:t xml:space="preserve">: mỗi nhóm phải có đủ quan sát WBES để phân tích có ý nghĩa thống kê (tối thiểu 500 doanh nghiệp);</w:t>
            </w:r>
          </w:p>
        </w:tc>
      </w:tr>
      <w:tr>
        <w:tc>
          <w:tcPr/>
          <w:p>
            <w:pPr>
              <w:pStyle w:val="Compact"/>
              <w:jc w:val="left"/>
            </w:pPr>
            <w:r>
              <w:t xml:space="preserve">(d)</w:t>
            </w:r>
            <w:r>
              <w:t xml:space="preserve"> </w:t>
            </w:r>
            <w:r>
              <w:rPr>
                <w:bCs/>
                <w:b/>
              </w:rPr>
              <w:t xml:space="preserve">Tính minh bạch và tái tạo</w:t>
            </w:r>
            <w:r>
              <w:t xml:space="preserve">: tiêu chí phân loại phải rõ ràng và có thể áp dụng nhất quán.</w:t>
            </w:r>
          </w:p>
        </w:tc>
      </w:tr>
      <w:tr>
        <w:tc>
          <w:tcPr/>
          <w:p>
            <w:pPr>
              <w:pStyle w:val="Compact"/>
              <w:jc w:val="left"/>
            </w:pPr>
            <w:r>
              <w:t xml:space="preserve">#### 2.3.2.2 Tiêu chí phân loại sáu nhóm</w:t>
            </w:r>
          </w:p>
        </w:tc>
      </w:tr>
      <w:tr>
        <w:tc>
          <w:tcPr/>
          <w:p>
            <w:pPr>
              <w:pStyle w:val="Compact"/>
              <w:jc w:val="left"/>
            </w:pPr>
            <w:r>
              <w:rPr>
                <w:bCs/>
                <w:b/>
              </w:rPr>
              <w:t xml:space="preserve">Nhóm I — Advanced đổi mới sáng tạo dẫn dắt</w:t>
            </w:r>
            <w:r>
              <w:t xml:space="preserve">: WGI Rule of Law &gt;+0,80; GNI bình quân đầu người &gt;30.000 USD (phương pháp Atlas WB); GDP tăng trưởng dựa trên đổi mới công nghệ, dịch vụ tài chính và hàm lượng tri thức cao. Bằng chứng WBES: R&amp;D &gt;10%, ISO &gt;20%, độ lệch chuẩn log năng suất ~1,03 (đa dạng hóa).</w:t>
            </w:r>
          </w:p>
        </w:tc>
      </w:tr>
      <w:tr>
        <w:tc>
          <w:tcPr/>
          <w:p>
            <w:pPr>
              <w:pStyle w:val="Compact"/>
              <w:jc w:val="left"/>
            </w:pPr>
            <w:r>
              <w:rPr>
                <w:bCs/>
                <w:b/>
              </w:rPr>
              <w:t xml:space="preserve">Nhóm II — Advanced tài nguyên dẫn dắt</w:t>
            </w:r>
            <w:r>
              <w:t xml:space="preserve">: WGI Rule of Law trung bình (+0,00 → +0,50); GNI bình quân đầu người &gt;20.000 USD; GDP tăng trưởng dựa trên xuất khẩu tài nguyên thiên nhiên (dầu mỏ, khí đốt, khoáng sản). Bằng chứng WBES: FDI cao hướng khai thác tài nguyên, độ lệch chuẩn log năng suất thấp (~0,49 — đặc trưng nhà nước tô).</w:t>
            </w:r>
          </w:p>
        </w:tc>
      </w:tr>
      <w:tr>
        <w:tc>
          <w:tcPr/>
          <w:p>
            <w:pPr>
              <w:pStyle w:val="Compact"/>
              <w:jc w:val="left"/>
            </w:pPr>
            <w:r>
              <w:rPr>
                <w:bCs/>
                <w:b/>
              </w:rPr>
              <w:t xml:space="preserve">Nhóm III — Trung bình cao (Upper-middle)</w:t>
            </w:r>
            <w:r>
              <w:t xml:space="preserve">: WGI Rule of Law 0,00 → +0,80; GNI bình quân đầu người 5.000–20.000 USD; nền kinh tế chuyển đổi từ sản xuất sang dịch vụ, với R&amp;D đang tăng (đặc biệt Trung Quốc). Pattern WBES: FSTS sản xuất cao, R&amp;D tăng mạnh giai đoạn 2018–2025 (+21,5 điểm phần trăm).</w:t>
            </w:r>
          </w:p>
        </w:tc>
      </w:tr>
      <w:tr>
        <w:tc>
          <w:tcPr/>
          <w:p>
            <w:pPr>
              <w:pStyle w:val="Compact"/>
              <w:jc w:val="left"/>
            </w:pPr>
            <w:r>
              <w:rPr>
                <w:bCs/>
                <w:b/>
              </w:rPr>
              <w:t xml:space="preserve">Nhóm IV — Đang nổi (Emerging)</w:t>
            </w:r>
            <w:r>
              <w:t xml:space="preserve">: WGI Rule of Law -0,50 → 0,00; GNI bình quân đầu người 1.000–5.000 USD; tốc độ tăng trưởng cao nhưng gap de jure–de facto lớn (Xu, 2024); sản xuất FDI-driven dẫn dắt xuất khẩu. Pattern WBES: FSTS phân cực cao/thấp trong nội bộ nhóm; FDI thấp nhất (4,7%) do doanh nghiệp nội địa chi phối mẫu.</w:t>
            </w:r>
          </w:p>
        </w:tc>
      </w:tr>
      <w:tr>
        <w:tc>
          <w:tcPr/>
          <w:p>
            <w:pPr>
              <w:pStyle w:val="Compact"/>
              <w:jc w:val="left"/>
            </w:pPr>
            <w:r>
              <w:rPr>
                <w:bCs/>
                <w:b/>
              </w:rPr>
              <w:t xml:space="preserve">Nhóm V — Cận biên (Frontier)</w:t>
            </w:r>
            <w:r>
              <w:t xml:space="preserve">: WGI Rule of Law &lt; -0,50; GNI bình quân đầu người &lt;1.000 hoặc &lt;3.000 USD với voids thể chế lớn; nhiều nước đang qua giai đoạn xung đột hoặc chuyển đổi sau xung đột. Pattern WBES: phân tán năng suất cao nhất (độ lệch chuẩn log 1,36), R&amp;D thấp nhất, nhưng đổi mới sản phẩm cao (đổi mới bằng nguồn lực hạn chế).</w:t>
            </w:r>
          </w:p>
        </w:tc>
      </w:tr>
      <w:tr>
        <w:tc>
          <w:tcPr/>
          <w:p>
            <w:pPr>
              <w:pStyle w:val="Compact"/>
              <w:jc w:val="left"/>
            </w:pPr>
            <w:r>
              <w:rPr>
                <w:bCs/>
                <w:b/>
              </w:rPr>
              <w:t xml:space="preserve">Nhóm VI — SIDS Thái Bình Dương (Trường hợp biên mở rộng)</w:t>
            </w:r>
            <w:r>
              <w:t xml:space="preserve">: Dân số &lt;1 triệu; cô lập địa lý &gt;2.000 km từ hub thương mại; phụ thuộc ODA + remittances &gt; 20% GDP; mô hình MIRAB (Bertram, 2006). Pattern WBES: n=1.371 (1,4% pool); FDI cao nhất (23,5% — do MNE du lịch); đổi mới sản phẩm cao nhất (41,5% — đổi mới bằng nguồn lực hạn chế); website cao ngoại trừ Kiribati (18,7%).</w:t>
            </w:r>
          </w:p>
        </w:tc>
      </w:tr>
      <w:tr>
        <w:tc>
          <w:tcPr/>
          <w:p>
            <w:pPr>
              <w:pStyle w:val="Compact"/>
              <w:jc w:val="left"/>
            </w:pPr>
            <w:r>
              <w:t xml:space="preserve">#### 2.3.2.3 Danh sách 47 nền kinh tế theo nhóm ICRV</w:t>
            </w:r>
          </w:p>
        </w:tc>
      </w:tr>
      <w:tr>
        <w:tc>
          <w:tcPr/>
          <w:p>
            <w:pPr>
              <w:pStyle w:val="Compact"/>
              <w:jc w:val="left"/>
            </w:pPr>
            <w:r>
              <w:rPr>
                <w:bCs/>
                <w:b/>
              </w:rPr>
              <w:t xml:space="preserve">Bảng 2.3.2.1</w:t>
            </w:r>
            <w:r>
              <w:t xml:space="preserve">.</w:t>
            </w:r>
            <w:r>
              <w:t xml:space="preserve"> </w:t>
            </w:r>
            <w:r>
              <w:rPr>
                <w:iCs/>
                <w:i/>
              </w:rPr>
              <w:t xml:space="preserve">Phân loại 47 nền kinh tế vào 6 nhóm ICRV — tiêu chí và số doanh nghiệp.</w:t>
            </w:r>
          </w:p>
        </w:tc>
      </w:tr>
      <w:tr>
        <w:tc>
          <w:tcPr/>
          <w:p>
            <w:pPr>
              <w:pStyle w:val="Compact"/>
              <w:jc w:val="left"/>
            </w:pPr>
            <w:r>
              <w:t xml:space="preserve">| Nhóm ICRV | Tên nhóm | Quốc gia | n_firms (ước tính) |</w:t>
            </w:r>
            <w:r>
              <w:t xml:space="preserve"> </w:t>
            </w:r>
            <w:r>
              <w:t xml:space="preserve">|—|—|—|—|</w:t>
            </w:r>
            <w:r>
              <w:t xml:space="preserve"> </w:t>
            </w:r>
            <w:r>
              <w:t xml:space="preserve">|</w:t>
            </w:r>
            <w:r>
              <w:t xml:space="preserve"> </w:t>
            </w:r>
            <w:r>
              <w:rPr>
                <w:bCs/>
                <w:b/>
              </w:rPr>
              <w:t xml:space="preserve">I</w:t>
            </w:r>
            <w:r>
              <w:t xml:space="preserve"> </w:t>
            </w:r>
            <w:r>
              <w:t xml:space="preserve">| Advanced — innovation-driven | Singapore, Hong Kong SAR, Hàn Quốc, Đài Loan, Israel | ~4.220 |</w:t>
            </w:r>
            <w:r>
              <w:t xml:space="preserve"> </w:t>
            </w:r>
            <w:r>
              <w:t xml:space="preserve">|</w:t>
            </w:r>
            <w:r>
              <w:t xml:space="preserve"> </w:t>
            </w:r>
            <w:r>
              <w:rPr>
                <w:bCs/>
                <w:b/>
              </w:rPr>
              <w:t xml:space="preserve">II</w:t>
            </w:r>
            <w:r>
              <w:t xml:space="preserve"> </w:t>
            </w:r>
            <w:r>
              <w:t xml:space="preserve">| Advanced — resource-driven | Saudi Arabia, Qatar, Kuwait, Bahrain, Brunei | ~1.932 |</w:t>
            </w:r>
            <w:r>
              <w:t xml:space="preserve"> </w:t>
            </w:r>
            <w:r>
              <w:t xml:space="preserve">|</w:t>
            </w:r>
            <w:r>
              <w:t xml:space="preserve"> </w:t>
            </w:r>
            <w:r>
              <w:rPr>
                <w:bCs/>
                <w:b/>
              </w:rPr>
              <w:t xml:space="preserve">III</w:t>
            </w:r>
            <w:r>
              <w:t xml:space="preserve"> </w:t>
            </w:r>
            <w:r>
              <w:t xml:space="preserve">| Upper-middle | Trung Quốc, Malaysia, Thái Lan, Kazakhstan, Armenia, Georgia | ~16.693 |</w:t>
            </w:r>
            <w:r>
              <w:t xml:space="preserve"> </w:t>
            </w:r>
            <w:r>
              <w:t xml:space="preserve">|</w:t>
            </w:r>
            <w:r>
              <w:t xml:space="preserve"> </w:t>
            </w:r>
            <w:r>
              <w:rPr>
                <w:bCs/>
                <w:b/>
              </w:rPr>
              <w:t xml:space="preserve">IV</w:t>
            </w:r>
            <w:r>
              <w:t xml:space="preserve"> </w:t>
            </w:r>
            <w:r>
              <w:t xml:space="preserve">| Emerging | Việt Nam, Indonesia, Philippines, Ấn Độ, Sri Lanka, Jordan, Mông Cổ | ~47.803 |</w:t>
            </w:r>
            <w:r>
              <w:t xml:space="preserve"> </w:t>
            </w:r>
            <w:r>
              <w:t xml:space="preserve">|</w:t>
            </w:r>
            <w:r>
              <w:t xml:space="preserve"> </w:t>
            </w:r>
            <w:r>
              <w:rPr>
                <w:bCs/>
                <w:b/>
              </w:rPr>
              <w:t xml:space="preserve">V</w:t>
            </w:r>
            <w:r>
              <w:t xml:space="preserve"> </w:t>
            </w:r>
            <w:r>
              <w:t xml:space="preserve">| Frontier | Bangladesh, Pakistan, Lào, Campuchia, Myanmar, Nepal, Bhutan, Maldives, Uzbekistan, Tajikistan, Kyrgyz Republic, Turkmenistan, Afghanistan, Timor-Leste, Iraq, Lebanon, Yemen | ~28.678 |</w:t>
            </w:r>
            <w:r>
              <w:t xml:space="preserve"> </w:t>
            </w:r>
            <w:r>
              <w:t xml:space="preserve">|</w:t>
            </w:r>
            <w:r>
              <w:t xml:space="preserve"> </w:t>
            </w:r>
            <w:r>
              <w:rPr>
                <w:bCs/>
                <w:b/>
              </w:rPr>
              <w:t xml:space="preserve">VI</w:t>
            </w:r>
            <w:r>
              <w:t xml:space="preserve"> </w:t>
            </w:r>
            <w:r>
              <w:t xml:space="preserve">| SIDS Pacific (boundary) | Fiji, Papua New Guinea, Solomon Islands, Tonga, Vanuatu, Samoa, Kiribati | ~1.371 |</w:t>
            </w:r>
            <w:r>
              <w:t xml:space="preserve"> </w:t>
            </w:r>
            <w:r>
              <w:t xml:space="preserve">|</w:t>
            </w:r>
            <w:r>
              <w:t xml:space="preserve"> </w:t>
            </w:r>
            <w:r>
              <w:rPr>
                <w:bCs/>
                <w:b/>
              </w:rPr>
              <w:t xml:space="preserve">Tổng</w:t>
            </w:r>
            <w:r>
              <w:t xml:space="preserve"> </w:t>
            </w:r>
            <w:r>
              <w:t xml:space="preserve">| | 47 nền kinh tế |</w:t>
            </w:r>
            <w:r>
              <w:t xml:space="preserve"> </w:t>
            </w:r>
            <w:r>
              <w:rPr>
                <w:bCs/>
                <w:b/>
              </w:rPr>
              <w:t xml:space="preserve">101.185</w:t>
            </w:r>
            <w:r>
              <w:t xml:space="preserve"> </w:t>
            </w:r>
            <w:r>
              <w:t xml:space="preserve">|</w:t>
            </w:r>
          </w:p>
        </w:tc>
      </w:tr>
      <w:tr>
        <w:tc>
          <w:tcPr/>
          <w:p>
            <w:pPr>
              <w:pStyle w:val="Compact"/>
              <w:jc w:val="left"/>
            </w:pPr>
            <w:r>
              <w:rPr>
                <w:iCs/>
                <w:i/>
              </w:rPr>
              <w:t xml:space="preserve">Ghi chú: n_firms là phân bố xấp xỉ theo pool 101.185; tổng 5 nhóm chính (I–V) = 99.814 (phạm vi chính 41 nước châu Á); SIDS Nhóm VI = 1.371 (1,4% pool).</w:t>
            </w:r>
          </w:p>
        </w:tc>
      </w:tr>
      <w:tr>
        <w:tc>
          <w:tcPr/>
          <w:p>
            <w:pPr>
              <w:pStyle w:val="Compact"/>
              <w:jc w:val="left"/>
            </w:pPr>
            <w:r>
              <w:t xml:space="preserve">#### 2.3.2.4 Đặc điểm các nhóm ICRV</w:t>
            </w:r>
          </w:p>
        </w:tc>
      </w:tr>
      <w:tr>
        <w:tc>
          <w:tcPr/>
          <w:p>
            <w:pPr>
              <w:pStyle w:val="Compact"/>
              <w:jc w:val="left"/>
            </w:pPr>
            <w:r>
              <w:rPr>
                <w:bCs/>
                <w:b/>
              </w:rPr>
              <w:t xml:space="preserve">Bảng 2.3.2.2</w:t>
            </w:r>
            <w:r>
              <w:t xml:space="preserve">.</w:t>
            </w:r>
            <w:r>
              <w:t xml:space="preserve"> </w:t>
            </w:r>
            <w:r>
              <w:rPr>
                <w:iCs/>
                <w:i/>
              </w:rPr>
              <w:t xml:space="preserve">Đặc điểm điển hình của 6 nhóm ICRV — WGI, GNI, cơ chế tăng trưởng, pattern WBES dự kiến.</w:t>
            </w:r>
          </w:p>
        </w:tc>
      </w:tr>
      <w:tr>
        <w:tc>
          <w:tcPr/>
          <w:p>
            <w:pPr>
              <w:pStyle w:val="Compact"/>
              <w:jc w:val="left"/>
            </w:pPr>
            <w:r>
              <w:t xml:space="preserve">| Nhóm | WGI Rule of Law | GNI/capita | Cơ chế tăng trưởng | FSTS dự kiến | sd log LP | Cơ chế quốc tế hóa → hiệu quả |</w:t>
            </w:r>
            <w:r>
              <w:t xml:space="preserve"> </w:t>
            </w:r>
            <w:r>
              <w:t xml:space="preserve">|—|—|—|—|—|—|—|</w:t>
            </w:r>
            <w:r>
              <w:t xml:space="preserve"> </w:t>
            </w:r>
            <w:r>
              <w:t xml:space="preserve">| I — Innovation | &gt;+0,80 | &gt;$30k | R&amp;D + dịch vụ tri thức | Trung bình (6–15%) | ~1,03 | U ngược nhẹ / tuyến tính dương; điểm uốn ~82% (SG) |</w:t>
            </w:r>
            <w:r>
              <w:t xml:space="preserve"> </w:t>
            </w:r>
            <w:r>
              <w:t xml:space="preserve">| II — Resource | +0,00→+0,50 | &gt;$20k | Xuất khẩu dầu/khí | Thấp (1–3%) | ~0,49 | Phi tuyến suy yếu; nhà nước tô phân phối lại |</w:t>
            </w:r>
            <w:r>
              <w:t xml:space="preserve"> </w:t>
            </w:r>
            <w:r>
              <w:t xml:space="preserve">| III — Upper-mid | 0,00→+0,80 | $5k–$20k | Sản xuất + chuyển đổi | Trung bình (8–12%) | ~1,29 | U ngược; điểm uốn ~47% (CHN Đỗ &amp; Phan, 2026) |</w:t>
            </w:r>
            <w:r>
              <w:t xml:space="preserve"> </w:t>
            </w:r>
            <w:r>
              <w:t xml:space="preserve">| IV — Emerging | -0,50→0,00 | $1k–$5k | FDI-driven sản xuất | Biến động (7–23%) | ~1,24 | U ngược; điểm uốn 39–46% (VNM) — bẫy chuyển hướng nguồn lực |</w:t>
            </w:r>
            <w:r>
              <w:t xml:space="preserve"> </w:t>
            </w:r>
            <w:r>
              <w:t xml:space="preserve">| V — Frontier | &lt;-0,50 | &lt;$1k–$3k | Tự cấp + phi chính thức | Thấp–trung bình | ~1,36 | Yếu; voids thể chế → đổi mới bằng nguồn lực hạn chế |</w:t>
            </w:r>
            <w:r>
              <w:t xml:space="preserve"> </w:t>
            </w:r>
            <w:r>
              <w:t xml:space="preserve">| VI — SIDS | Đặc biệt | $1k–$8k | MIRAB + du lịch | Rất thấp (1–12%) | ~1,32 | Chi phí buộc phải quốc tế hóa — U-curve không vận hành |</w:t>
            </w:r>
          </w:p>
        </w:tc>
      </w:tr>
      <w:tr>
        <w:tc>
          <w:tcPr/>
          <w:p>
            <w:pPr>
              <w:pStyle w:val="Compact"/>
              <w:jc w:val="left"/>
            </w:pPr>
            <w:r>
              <w:rPr>
                <w:iCs/>
                <w:i/>
              </w:rPr>
              <w:t xml:space="preserve">Nguồn: Tổng hợp từ World Bank Enterprise Surveys (2025); WGI từ Kaufmann et al. (2011); GNI từ World Bank (2025, tháng 7). Pattern WBES từ phân tích Chương 4 và Đỗ &amp; Phan (2026 — VEFR, JABS, JFAR, MIR under review).</w:t>
            </w:r>
          </w:p>
        </w:tc>
      </w:tr>
    </w:tbl>
    <w:bookmarkEnd w:id="39"/>
    <w:bookmarkEnd w:id="40"/>
    <w:bookmarkStart w:id="44" w:name="X71126d3a9cbef6cfbe4977212de66e8cb3d47a9"/>
    <w:p>
      <w:pPr>
        <w:pStyle w:val="Heading3"/>
      </w:pPr>
      <w:r>
        <w:t xml:space="preserve">2.3.3 Thực trạng năng suất lao động và quốc tế hóa</w:t>
      </w:r>
    </w:p>
    <w:bookmarkStart w:id="41" w:name="nguồn-dữ-liệu-và-cấu-trúc-pool"/>
    <w:p>
      <w:pPr>
        <w:pStyle w:val="Heading4"/>
      </w:pPr>
      <w:r>
        <w:t xml:space="preserve">2.3.3.1 Nguồn dữ liệu và cấu trúc pool</w:t>
      </w:r>
    </w:p>
    <w:p>
      <w:pPr>
        <w:pStyle w:val="FirstParagraph"/>
      </w:pPr>
      <w:r>
        <w:rPr>
          <w:bCs/>
          <w:b/>
        </w:rPr>
        <w:t xml:space="preserve">Phạm vi tổng hợp dữ liệu</w:t>
      </w:r>
      <w:r>
        <w:t xml:space="preserve">. Nhóm dữ liệu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(bao gồm Kiribati 2025: +150 doanh nghiệp, +1 cặp quốc gia × năm). Tổng hợp này kế thừa và mở rộng từ 17 nước châu Á mới nổi (~40.633 doanh nghiệp) của Đỗ &amp; Phan (2026 — VEFR), gấp ~2,5 lần. Phân bố theo phân nhóm con ICRV: Emerging 47.803 (47%), Frontier 28.678 (28%), Upper-middle 16.693 (17%), Advanced 6.640 (7%),</w:t>
      </w:r>
      <w:r>
        <w:t xml:space="preserve"> </w:t>
      </w:r>
      <w:r>
        <w:rPr>
          <w:bCs/>
          <w:b/>
        </w:rPr>
        <w:t xml:space="preserve">SIDS 1.371 (1,4% — bao gồm Kiribati 2025)</w:t>
      </w:r>
      <w:r>
        <w:t xml:space="preserve">. Có</w:t>
      </w:r>
      <w:r>
        <w:t xml:space="preserve"> </w:t>
      </w:r>
      <w:r>
        <w:rPr>
          <w:bCs/>
          <w:b/>
        </w:rPr>
        <w:t xml:space="preserve">14 đợt khảo sát năm 2025</w:t>
      </w:r>
      <w:r>
        <w:t xml:space="preserve"> </w:t>
      </w:r>
      <w:r>
        <w:t xml:space="preserve">với 16.979 doanh nghiệp.</w:t>
      </w:r>
    </w:p>
    <w:p>
      <w:pPr>
        <w:pStyle w:val="BodyText"/>
      </w:pPr>
      <w:r>
        <w:rPr>
          <w:iCs/>
          <w:i/>
        </w:rPr>
        <w:t xml:space="preserve">Hình 2.3.3.1. Phân bố mẫu 101.185 doanh nghiệp xuyên 17 năm (2009–2025) theo 3 thế hệ schema WBES: PICS3 (2009–2012, n=14.171), Standardized (2013–2017, n=24.564), BREADY (2018–2025, n=62.450 bao gồm Kiribati 2025). Đợt 2025 đột biến với 16.979 doanh nghiệp = 16,8% pool.</w:t>
      </w:r>
    </w:p>
    <w:p>
      <w:pPr>
        <w:pStyle w:val="BodyText"/>
      </w:pPr>
      <w:r>
        <w:rPr>
          <w:iCs/>
          <w:i/>
        </w:rPr>
        <w:t xml:space="preserve">Hình 2.3.3.2. Bar chart phân bố theo 5 phân nhóm con: Emerging (47.803, 47,2%), Frontier (28.678, 28,3%), Upper-middle (16.693, 16,5%), Advanced (6.640, 6,6%), SIDS Thái Bình Dương (1.371, 1,4%, bao gồm Kiribati 2025).</w:t>
      </w:r>
    </w:p>
    <w:p>
      <w:pPr>
        <w:pStyle w:val="BodyText"/>
      </w:pPr>
      <w:r>
        <w:rPr>
          <w:bCs/>
          <w:b/>
        </w:rPr>
        <w:t xml:space="preserve">Trường hợp biên</w:t>
      </w:r>
      <w:r>
        <w:t xml:space="preserve">:</w:t>
      </w:r>
      <w:r>
        <w:t xml:space="preserve"> </w:t>
      </w:r>
      <w:r>
        <w:rPr>
          <w:bCs/>
          <w:b/>
        </w:rPr>
        <w:t xml:space="preserve">7 SIDS Thái Bình Dương đầy đủ</w:t>
      </w:r>
      <w:r>
        <w:t xml:space="preserve"> </w:t>
      </w:r>
      <w:r>
        <w:t xml:space="preserve">(FJI, PNG, SLB, TON, VUT, WSM, KIR). Phân bố thời gian: 2009–2012 (n=14.171), 2013–2017 (n=24.564), 2018–2025 (n=62.450, chiếm 62%). Quy trình hài hòa hóa: FSTS =</w:t>
      </w:r>
      <w:r>
        <w:t xml:space="preserve"> </w:t>
      </w:r>
      <w:r>
        <w:rPr>
          <w:rStyle w:val="VerbatimChar"/>
        </w:rPr>
        <w:t xml:space="preserve">d3b + d3c</w:t>
      </w:r>
      <w:r>
        <w:t xml:space="preserve">; winsorize log năng suất ở mức 1/99 phân vị trong cụm quốc gia × năm.</w:t>
      </w:r>
    </w:p>
    <w:bookmarkEnd w:id="41"/>
    <w:bookmarkStart w:id="42" w:name="phân-tán-năng-suất-lao-động"/>
    <w:p>
      <w:pPr>
        <w:pStyle w:val="Heading4"/>
      </w:pPr>
      <w:r>
        <w:t xml:space="preserve">2.3.3.2 Phân tán năng suất lao động</w:t>
      </w:r>
    </w:p>
    <w:p>
      <w:pPr>
        <w:pStyle w:val="FirstParagraph"/>
      </w:pPr>
      <w:r>
        <w:rPr>
          <w:bCs/>
          <w:b/>
        </w:rPr>
        <w:t xml:space="preserve">Bảng 2.3.3.1</w:t>
      </w:r>
      <w:r>
        <w:t xml:space="preserve">.</w:t>
      </w:r>
      <w:r>
        <w:t xml:space="preserve"> </w:t>
      </w:r>
      <w:r>
        <w:rPr>
          <w:iCs/>
          <w:i/>
        </w:rPr>
        <w:t xml:space="preserve">Phân tán năng suất lao động theo phân nhóm con thể chế (n=108 cặp quốc gia × năm).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(bao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w:t>
            </w:r>
          </w:p>
        </w:tc>
        <w:tc>
          <w:tcPr/>
          <w:p>
            <w:pPr>
              <w:pStyle w:val="Compact"/>
              <w:jc w:val="left"/>
            </w:pPr>
            <w:r>
              <w:t xml:space="preserve">—</w:t>
            </w:r>
          </w:p>
        </w:tc>
      </w:tr>
    </w:tbl>
    <w:p>
      <w:pPr>
        <w:pStyle w:val="BodyText"/>
      </w:pPr>
      <w:r>
        <w:rPr>
          <w:iCs/>
          <w:i/>
        </w:rPr>
        <w:t xml:space="preserve">Ghi chú: Advanced tách 2 phân nhóm con — tỷ số phân tán Singapore (1,03) so với Vùng Vịnh (0,49) ≈</w:t>
      </w:r>
      <w:r>
        <w:rPr>
          <w:iCs/>
          <w:i/>
        </w:rPr>
        <w:t xml:space="preserve"> </w:t>
      </w:r>
      <w:r>
        <w:rPr>
          <w:bCs/>
          <w:b/>
          <w:iCs/>
          <w:i/>
        </w:rPr>
        <w:t xml:space="preserve">2,1 lần</w:t>
      </w:r>
      <w:r>
        <w:rPr>
          <w:iCs/>
          <w:i/>
        </w:rPr>
        <w:t xml:space="preserve">. Hàng SIDS bao gồm Kiribati 2025 (n=150, độ lệch chuẩn log 1,48).</w:t>
      </w:r>
    </w:p>
    <w:p>
      <w:pPr>
        <w:pStyle w:val="BodyText"/>
      </w:pPr>
      <w:r>
        <w:rPr>
          <w:iCs/>
          <w:i/>
        </w:rPr>
        <w:t xml:space="preserve">Hình 2.3.3.3. Đồ thị mật độ kernel cho 6 phân nhóm con: Advanced innovation (sd 1,03), Advanced resource (sd 0,49), Upper-middle (1,29), Emerging (1,24), Frontier (1,36), SIDS (1,32). Phân nhóm tài nguyên dẫn dắt (Vùng Vịnh) phân tán hẹp nhất; Frontier rộng nhất.</w:t>
      </w:r>
    </w:p>
    <w:p>
      <w:pPr>
        <w:pStyle w:val="BodyText"/>
      </w:pPr>
      <w:r>
        <w:t xml:space="preserve">Năm phát hiện chính từ Bảng 2.3.3.1: (1) Phân tán Advanced gộp giảm từ 1,00 → 0,86 sau khi bổ sung Vùng Vịnh — bằng chứng dị biệt nội bộ; (2) Frontier cao nhất — phù hợp</w:t>
      </w:r>
      <w:r>
        <w:t xml:space="preserve"> </w:t>
      </w:r>
      <w:r>
        <w:rPr>
          <w:bCs/>
          <w:b/>
        </w:rPr>
        <w:t xml:space="preserve">giả thuyết phân bổ sai nguồn lực</w:t>
      </w:r>
      <w:r>
        <w:t xml:space="preserve"> </w:t>
      </w:r>
      <w:r>
        <w:t xml:space="preserve">Hsieh &amp; Klenow (2009, 2014); (3) SIDS ở mức trung bình ~1,32; (4) tỷ số P90/P10 tăng đơn điệu theo phân nhóm con; (5) bằng chứng cho điều tiết thể chế trong quan hệ quốc tế hóa → hiệu quả.</w:t>
      </w:r>
    </w:p>
    <w:bookmarkEnd w:id="42"/>
    <w:bookmarkStart w:id="43" w:name="Xcc3eee4fbea372afb82cb0ae0b2af37656e40ee"/>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 phân phối phân cực mạnh với chỉ 15–23% doanh nghiệp tham gia xuất khẩu tùy theo nhóm. SIDS có tốc độ tăng trưởng việc làm hàng năm kép cao nhất (5,77%), phản ánh quy mô nhỏ và tăng trưởng từ nền thấp. Advanced và Upper-middle có FSTS gần tương đương (~10%) nhưng cơ chế xuất khẩu hoàn toàn khác nhau: Advanced chủ yếu dịch vụ và hàng hóa hàm lượng tri thức cao; Upper-middle chủ yếu sản xuất theo chuỗi giá trị toàn cầu.</w:t>
      </w:r>
    </w:p>
    <w:p>
      <w:r>
        <w:pict>
          <v:rect style="width:0;height:1.5pt" o:hralign="center" o:hrstd="t" o:hr="t"/>
        </w:pict>
      </w:r>
    </w:p>
    <w:bookmarkEnd w:id="43"/>
    <w:bookmarkEnd w:id="44"/>
    <w:bookmarkStart w:id="48" w:name="đổi-mới-sáng-tạo-và-năng-lực-số-hóa"/>
    <w:p>
      <w:pPr>
        <w:pStyle w:val="Heading3"/>
      </w:pPr>
      <w:r>
        <w:t xml:space="preserve">2.3.4 Đổi mới sáng tạo và năng lực số hóa</w:t>
      </w:r>
    </w:p>
    <w:bookmarkStart w:id="45" w:name="khung-5-lĩnh-vực-chỉ-số-wbes"/>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 định vị phạm vi đo lường.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§2.3.6.2</w:t>
            </w:r>
          </w:p>
        </w:tc>
        <w:tc>
          <w:tcPr/>
          <w:p>
            <w:pPr>
              <w:pStyle w:val="Compact"/>
              <w:jc w:val="left"/>
            </w:pPr>
            <w:r>
              <w:rPr>
                <w:rStyle w:val="VerbatimChar"/>
              </w:rPr>
              <w:t xml:space="preserve">bribery_incidence_pct</w:t>
            </w:r>
          </w:p>
        </w:tc>
      </w:tr>
    </w:tbl>
    <w:bookmarkEnd w:id="45"/>
    <w:bookmarkStart w:id="46" w:name="X9df516e2ada8dd6f1a571e4ad9b53ee8766fff4"/>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thể hiện pattern</w:t>
      </w:r>
      <w:r>
        <w:t xml:space="preserve"> </w:t>
      </w:r>
      <w:r>
        <w:rPr>
          <w:bCs/>
          <w:b/>
        </w:rPr>
        <w:t xml:space="preserve">thích nghi và nhảy vọt số</w:t>
      </w:r>
      <w:r>
        <w:t xml:space="preserve"> </w:t>
      </w:r>
      <w:r>
        <w:t xml:space="preserve">đáng chú ý: tỷ lệ đổi mới sản phẩm cao nhất (41,5%) phản ánh đổi mới bằng nguồn lực hạn chế — sáng tạo không chính thức để bù đắp cho thiếu hụt nguồn lực; website 58,9% vượt cả nhóm Emerging dù GNI thấp hơn đáng kể. Phân tách rõ TCI so với DAI — kế thừa Đỗ &amp; Phan (2026 — VEFR).</w:t>
      </w:r>
    </w:p>
    <w:bookmarkEnd w:id="46"/>
    <w:bookmarkStart w:id="47" w:name="Xf9def7853091997378673ae7720d7322a439a73"/>
    <w:p>
      <w:pPr>
        <w:pStyle w:val="Heading4"/>
      </w:pPr>
      <w:r>
        <w:t xml:space="preserve">2.3.4.3 Tái định hình Chỉ số áp dụng số — Tier-1 Sự hiện diện số cơ bản</w:t>
      </w:r>
    </w:p>
    <w:p>
      <w:pPr>
        <w:pStyle w:val="FirstParagraph"/>
      </w:pPr>
      <w:r>
        <w:t xml:space="preserve">Spec 1 (toàn bộ 2009–2025) dùng biến nhị phân duy nhất (website có/không).</w:t>
      </w:r>
      <w:r>
        <w:t xml:space="preserve"> </w:t>
      </w:r>
      <w:r>
        <w:rPr>
          <w:bCs/>
          <w:b/>
        </w:rPr>
        <w:t xml:space="preserve">Hệ quả phân tích đáng chú ý</w:t>
      </w:r>
      <w:r>
        <w:t xml:space="preserve">: hệ số -0,129 cho DAI ở Advanced trong Spec 1 gợi ý</w:t>
      </w:r>
      <w:r>
        <w:t xml:space="preserve"> </w:t>
      </w:r>
      <w:r>
        <w:t xml:space="preserve">“</w:t>
      </w:r>
      <w:r>
        <w:t xml:space="preserve">số hóa làm giảm năng suất ở Singapore/Hàn Quốc</w:t>
      </w:r>
      <w:r>
        <w:t xml:space="preserve">”</w:t>
      </w:r>
      <w:r>
        <w:t xml:space="preserve"> </w:t>
      </w:r>
      <w:r>
        <w:t xml:space="preserve">— đây là</w:t>
      </w:r>
      <w:r>
        <w:t xml:space="preserve"> </w:t>
      </w:r>
      <w:r>
        <w:rPr>
          <w:bCs/>
          <w:b/>
        </w:rPr>
        <w:t xml:space="preserve">ảo ảnh thống kê</w:t>
      </w:r>
      <w:r>
        <w:t xml:space="preserve"> </w:t>
      </w:r>
      <w:r>
        <w:t xml:space="preserve">do đo lường sơ sài ở bối cảnh đã bão hòa.</w:t>
      </w:r>
    </w:p>
    <w:p>
      <w:pPr>
        <w:pStyle w:val="BodyText"/>
      </w:pPr>
      <w:r>
        <w:rPr>
          <w:bCs/>
          <w:b/>
        </w:rPr>
        <w:t xml:space="preserve">Kiểm định loại trừ ICT</w:t>
      </w:r>
      <w:r>
        <w:t xml:space="preserve">: Khi loại bỏ các doanh nghiệp ICT (ISIC J 58–63) khỏi phân nhóm Advanced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 website không còn phân biệt năng suất vì hầu hết đã có website từ lâu. Do đó biến Spec 1 được đổi tên chính xác hơn thành</w:t>
      </w:r>
      <w:r>
        <w:t xml:space="preserve"> </w:t>
      </w:r>
      <w:r>
        <w:rPr>
          <w:bCs/>
          <w:b/>
        </w:rPr>
        <w:t xml:space="preserve">“</w:t>
      </w:r>
      <w:r>
        <w:rPr>
          <w:bCs/>
          <w:b/>
        </w:rPr>
        <w:t xml:space="preserve">Sự hiện diện số cơ bản (Tier-1)</w:t>
      </w:r>
      <w:r>
        <w:rPr>
          <w:bCs/>
          <w:b/>
        </w:rPr>
        <w:t xml:space="preserve">”</w:t>
      </w:r>
      <w:r>
        <w:t xml:space="preserve"> </w:t>
      </w:r>
      <w:r>
        <w:t xml:space="preserve">— phạm vi khiêm tốn và phản ánh đúng thực tế đo lường.</w:t>
      </w:r>
    </w:p>
    <w:p>
      <w:r>
        <w:pict>
          <v:rect style="width:0;height:1.5pt" o:hralign="center" o:hrstd="t" o:hr="t"/>
        </w:pict>
      </w:r>
    </w:p>
    <w:bookmarkEnd w:id="47"/>
    <w:bookmarkEnd w:id="48"/>
    <w:bookmarkStart w:id="51" w:name="cấu-trúc-doanh-nghiệp"/>
    <w:p>
      <w:pPr>
        <w:pStyle w:val="Heading3"/>
      </w:pPr>
      <w:r>
        <w:t xml:space="preserve">2.3.5 Cấu trúc doanh nghiệp</w:t>
      </w:r>
    </w:p>
    <w:bookmarkStart w:id="49" w:name="phân-bố-quy-mô-và-sở-hữu"/>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rPr>
          <w:iCs/>
          <w:i/>
        </w:rPr>
        <w:t xml:space="preserve">Hình 2.3.5.1. Stacked bar chart: SIDS Pacific có tỷ lệ SME cao nhất (88,5%), Frontier kế tiếp (85,0%), Advanced thấp nhất (79,1%).</w:t>
      </w:r>
    </w:p>
    <w:p>
      <w:pPr>
        <w:pStyle w:val="BodyText"/>
      </w:pPr>
      <w:r>
        <w:t xml:space="preserve">Tỷ lệ FDI có dạng chữ U với cực tiểu ở Emerging (4,7%). SIDS có FDI cao nhất (23,5%) do du lịch và viễn thông được dẫn dắt bởi doanh nghiệp đa quốc gia. Hai mô hình FDI hoàn toàn khác nhau: (i) MNE hub tại Advanced (Singapore FDI 31,5% — doanh nghiệp đa quốc gia chọn Singapore làm trung tâm khu vực); (ii) du lịch/viễn thông tại SIDS (FDI nhắm vào khu vực không cạnh tranh với lao động địa phương).</w:t>
      </w:r>
    </w:p>
    <w:bookmarkEnd w:id="49"/>
    <w:bookmarkStart w:id="50" w:name="X82630701712868d6b2736fccbaf4389d2963e4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 phân tầng theo phân nhóm con thể chế.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 voids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voids thể chế tại Frontier giải thích tại sao quan hệ quốc tế hóa → hiệu quả ở nhóm này yếu và không đơn điệu.</w:t>
      </w:r>
    </w:p>
    <w:p>
      <w:r>
        <w:pict>
          <v:rect style="width:0;height:1.5pt" o:hralign="center" o:hrstd="t" o:hr="t"/>
        </w:pict>
      </w:r>
    </w:p>
    <w:bookmarkEnd w:id="50"/>
    <w:bookmarkEnd w:id="51"/>
    <w:bookmarkStart w:id="57" w:name="biến-thiên-theo-thời-gian-20092025"/>
    <w:p>
      <w:pPr>
        <w:pStyle w:val="Heading3"/>
      </w:pPr>
      <w:r>
        <w:t xml:space="preserve">2.3.6 Biến thiên theo thời gian (2009–2025)</w:t>
      </w:r>
    </w:p>
    <w:bookmarkStart w:id="52" w:name="xu-hướng-thay-đổi-chính"/>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DN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 đến +43</w:t>
            </w:r>
          </w:p>
        </w:tc>
        <w:tc>
          <w:tcPr/>
          <w:p>
            <w:pPr>
              <w:pStyle w:val="Compact"/>
              <w:jc w:val="left"/>
            </w:pPr>
            <w:r>
              <w:t xml:space="preserve">+6 đến +11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rPr>
          <w:bCs/>
          <w:b/>
        </w:rPr>
        <w:t xml:space="preserve">Nhảy vọt số</w:t>
      </w:r>
      <w:r>
        <w:t xml:space="preserve"> </w:t>
      </w:r>
      <w:r>
        <w:t xml:space="preserve">là xu hướng nổi bật nhất: website tăng +20–43 điểm phần trăm ở Frontier, Emerging và SIDS — phù hợp luận điểm nhảy vọt số của Banalieva &amp; Dhanaraj (2019). Trong khi đó, R&amp;D giảm mạnh ở Emerging (-42,1 điểm phần trăm) là cảnh báo hiệu ứng schema: BREADY 2018+ đo R&amp;D theo cách khác làm giảm tỷ lệ báo cáo. Upper-middle là nhóm duy nhất có R&amp;D tăng đáng kể (+21,5 điểm phần trăm), phản ánh đầu tư thực sự — đặc biệt từ Trung Quốc với chiến lược sản xuất thông minh.</w:t>
      </w:r>
    </w:p>
    <w:p>
      <w:pPr>
        <w:pStyle w:val="BodyText"/>
      </w:pPr>
      <w:r>
        <w:rPr>
          <w:iCs/>
          <w:i/>
        </w:rPr>
        <w:t xml:space="preserve">Hình 2.3.4.1. Slope chart minh họa thay đổi 5 chỉ số giữa 2 mốc thời gian cho 4 phân nhóm con. Pattern nổi bật: Website tăng mạnh +20–40 điểm phần trăm ở Frontier/SIDS; FDI giảm phổ biến; R&amp;D giảm mạnh ở Emerging (-42,1 đpt) cảnh báo hiệu ứng schema.</w:t>
      </w:r>
    </w:p>
    <w:p>
      <w:pPr>
        <w:pStyle w:val="BodyText"/>
      </w:pPr>
      <w:r>
        <w:rPr>
          <w:iCs/>
          <w:i/>
        </w:rPr>
        <w:t xml:space="preserve">Hình 2.3.6.1. Radar/spider chart cho 3 phân nhóm con (Advanced, Emerging, SIDS) trên 5 chiều (FSTS, Đổi mới sản phẩm, R&amp;D, Website, ISO) với 2 mốc thời gian 2009–2012 vs 2018–2025.</w:t>
      </w:r>
    </w:p>
    <w:bookmarkEnd w:id="52"/>
    <w:bookmarkStart w:id="53" w:name="phân-biệt-3-chỉ-số-tham-nhũng-wbes"/>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 định nghĩa chính thức và cách đo.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w:t>
      </w:r>
      <w:r>
        <w:t xml:space="preserve"> </w:t>
      </w:r>
      <w:r>
        <w:t xml:space="preserve">“</w:t>
      </w:r>
      <w:r>
        <w:t xml:space="preserve">phải hối lộ thanh tra thuế</w:t>
      </w:r>
      <w:r>
        <w:t xml:space="preserve">”</w:t>
      </w:r>
      <w:r>
        <w:t xml:space="preserve"> </w:t>
      </w:r>
      <w:r>
        <w:t xml:space="preserve">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53"/>
    <w:bookmarkStart w:id="54" w:name="khung-phân-tích-cấp-ngành"/>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theo Kafouros et al.,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t xml:space="preserve">Dynamism profile</w:t>
            </w:r>
          </w:p>
        </w:tc>
      </w:tr>
      <w:tr>
        <w:tc>
          <w:tcPr/>
          <w:p>
            <w:pPr>
              <w:pStyle w:val="Compact"/>
              <w:jc w:val="left"/>
            </w:pPr>
            <w:r>
              <w:t xml:space="preserve">Sản xuất —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chứng minh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54"/>
    <w:bookmarkStart w:id="55" w:name="phân-nhóm-con-emerging-dị-biệt-nội-bộ"/>
    <w:p>
      <w:pPr>
        <w:pStyle w:val="Heading4"/>
      </w:pPr>
      <w:r>
        <w:t xml:space="preserve">2.3.6.4 Phân nhóm con Emerging — dị biệt nội bộ</w:t>
      </w:r>
    </w:p>
    <w:p>
      <w:pPr>
        <w:pStyle w:val="FirstParagraph"/>
      </w:pPr>
      <w:r>
        <w:rPr>
          <w:bCs/>
          <w:b/>
        </w:rPr>
        <w:t xml:space="preserve">Bảng 2.3.6.4</w:t>
      </w:r>
      <w:r>
        <w:t xml:space="preserve">.</w:t>
      </w:r>
      <w:r>
        <w:t xml:space="preserve"> </w:t>
      </w:r>
      <w:r>
        <w:rPr>
          <w:iCs/>
          <w:i/>
        </w:rPr>
        <w:t xml:space="preserve">Phân nhóm con Emerging —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khi gộp; (2) FDI chênh lệch 6 lần giữa ASEAN-3 và Nam Á + Tây Á; (3) TCI ngược dấu trong nội bộ nhóm; (4) Mông Cổ là trường hợp biên với đặc điểm tài nguyên; (5) độ lệch chuẩn log 1,53 so với 1,16 — phân tầng hai tầng trong mẫu con FDI dẫn dắt (Hsieh &amp; Klenow, 2009).</w:t>
      </w:r>
    </w:p>
    <w:bookmarkEnd w:id="55"/>
    <w:bookmarkStart w:id="56" w:name="phân-tích-sâu-đợt-khảo-sát-2025"/>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14 quốc gia trong đợt 2025 (n=16.979 — bao gồm Kiribati 2025).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Mông Cổ</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16.979</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t xml:space="preserve">Bảy phát hiện từ đợt 2025: (1) Ấn Độ FSTS sụt 5 điểm phần trăm (hiệu ứng schema); (2) Thái Lan</w:t>
      </w:r>
      <w:r>
        <w:t xml:space="preserve"> </w:t>
      </w:r>
      <w:r>
        <w:t xml:space="preserve">“</w:t>
      </w:r>
      <w:r>
        <w:t xml:space="preserve">số hóa tăng, xuất khẩu giảm</w:t>
      </w:r>
      <w:r>
        <w:t xml:space="preserve">”</w:t>
      </w:r>
      <w:r>
        <w:t xml:space="preserve">; (3) Fiji website 74,8% &gt; Singapore 66,1% (nhảy vọt số); (4) Vùng Vịnh + Brunei Advanced tài nguyên dẫn dắt được xác nhận; (5) R&amp;D schema-induced overestimation; (6) mẫu xác thực 2025 cho Chuyên đề 2; (7)</w:t>
      </w:r>
      <w:r>
        <w:t xml:space="preserve"> </w:t>
      </w:r>
      <w:r>
        <w:rPr>
          <w:bCs/>
          <w:b/>
        </w:rPr>
        <w:t xml:space="preserve">Kiribati cực đoan — FSTS 1,03%, FDI 0,7%, website 18,7% — đối lập hoàn toàn với Fiji. Dị biệt SIDS</w:t>
      </w:r>
      <w:r>
        <w:rPr>
          <w:bCs/>
          <w:b/>
        </w:rPr>
        <w:t xml:space="preserve"> </w:t>
      </w:r>
      <w:r>
        <w:rPr>
          <w:bCs/>
          <w:b/>
        </w:rPr>
        <w:t xml:space="preserve">“</w:t>
      </w:r>
      <w:r>
        <w:rPr>
          <w:bCs/>
          <w:b/>
        </w:rPr>
        <w:t xml:space="preserve">số hóa cao</w:t>
      </w:r>
      <w:r>
        <w:rPr>
          <w:bCs/>
          <w:b/>
        </w:rPr>
        <w:t xml:space="preserve">”</w:t>
      </w:r>
      <w:r>
        <w:rPr>
          <w:bCs/>
          <w:b/>
        </w:rPr>
        <w:t xml:space="preserve"> </w:t>
      </w:r>
      <w:r>
        <w:rPr>
          <w:bCs/>
          <w:b/>
        </w:rPr>
        <w:t xml:space="preserve">(FJI, MDV) so với</w:t>
      </w:r>
      <w:r>
        <w:rPr>
          <w:bCs/>
          <w:b/>
        </w:rPr>
        <w:t xml:space="preserve"> </w:t>
      </w:r>
      <w:r>
        <w:rPr>
          <w:bCs/>
          <w:b/>
        </w:rPr>
        <w:t xml:space="preserve">“</w:t>
      </w:r>
      <w:r>
        <w:rPr>
          <w:bCs/>
          <w:b/>
        </w:rPr>
        <w:t xml:space="preserve">cô lập nông thôn</w:t>
      </w:r>
      <w:r>
        <w:rPr>
          <w:bCs/>
          <w:b/>
        </w:rPr>
        <w:t xml:space="preserve">”</w:t>
      </w:r>
      <w:r>
        <w:rPr>
          <w:bCs/>
          <w:b/>
        </w:rPr>
        <w:t xml:space="preserve"> </w:t>
      </w:r>
      <w:r>
        <w:rPr>
          <w:bCs/>
          <w:b/>
        </w:rPr>
        <w:t xml:space="preserve">(KIR) — Chuyên đề 2 cần tách 2 phân nhóm con SIDS.</w:t>
      </w:r>
    </w:p>
    <w:p>
      <w:r>
        <w:pict>
          <v:rect style="width:0;height:1.5pt" o:hralign="center" o:hrstd="t" o:hr="t"/>
        </w:pict>
      </w:r>
    </w:p>
    <w:bookmarkEnd w:id="56"/>
    <w:bookmarkEnd w:id="57"/>
    <w:bookmarkStart w:id="66" w:name="bảy-tiểu-cảnh-điển-hình"/>
    <w:p>
      <w:pPr>
        <w:pStyle w:val="Heading3"/>
      </w:pPr>
      <w:r>
        <w:t xml:space="preserve">2.3.7 Bảy tiểu cảnh điển hình</w:t>
      </w:r>
    </w:p>
    <w:bookmarkStart w:id="58" w:name="X3055a7db7274e37a9f2c0231dbf16e1af51dbc7"/>
    <w:p>
      <w:pPr>
        <w:pStyle w:val="Heading4"/>
      </w:pPr>
      <w:r>
        <w:t xml:space="preserve">2.3.7.1 Singapore (Advanced đổi mới sáng tạo dẫn dắt — n=623, đợt 2023)</w:t>
      </w:r>
    </w:p>
    <w:p>
      <w:pPr>
        <w:pStyle w:val="FirstParagraph"/>
      </w:pPr>
      <w:r>
        <w:t xml:space="preserve">FSTS 7,1%; doanh nghiệp xuất khẩu 17,8%; website 66,1%; ISO 23,3%; R&amp;D 7,5%; FDI 31,5%. Độ lệch chuẩn log năng suất 1,03.</w:t>
      </w:r>
      <w:r>
        <w:t xml:space="preserve"> </w:t>
      </w:r>
      <w:r>
        <w:rPr>
          <w:bCs/>
          <w:b/>
        </w:rPr>
        <w:t xml:space="preserve">Biên trên</w:t>
      </w:r>
      <w:r>
        <w:t xml:space="preserve"> </w:t>
      </w:r>
      <w:r>
        <w:t xml:space="preserve">của nhóm Advanced đổi mới sáng tạo dẫn dắt. Theo nghiên cứu Singapore (Mar, Đỗ &amp; Phan, 2026 — MIR under review): R² hiệu chỉnh = 0,196; tương tác FSTS² × DAI = 3,119 (p=0,005); điểm uốn ~88,6%.</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 Tăng trưởng — Cộng đồng.</w:t>
      </w:r>
    </w:p>
    <w:p>
      <w:pPr>
        <w:pStyle w:val="BodyText"/>
      </w:pPr>
      <w:r>
        <w:t xml:space="preserve">Hệ sinh thái Singapore vận hành ở Tier 3–4 — vượt xa lớp DAI Tier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58"/>
    <w:bookmarkStart w:id="59" w:name="X3d8e62bb8c12f1314bcf822e6abe0e9d84c2bf6"/>
    <w:p>
      <w:pPr>
        <w:pStyle w:val="Heading4"/>
      </w:pPr>
      <w:r>
        <w:t xml:space="preserve">2.3.7.2 Saudi Arabia, Qatar và Kuwait (Advanced tài nguyên dẫn dắt —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w:t>
      </w:r>
      <w:r>
        <w:t xml:space="preserve"> </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 ở nhà nước tô, cơ chế phân bổ sai là bảo hộ FDI chứ không phải thiếu hụt thể chế; (3) Kuwait Vision 2035 với R&amp;D 20,7% —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59"/>
    <w:bookmarkStart w:id="60" w:name="Xdb719e3a8e331c4576e009e4801111badf5cb2d"/>
    <w:p>
      <w:pPr>
        <w:pStyle w:val="Heading4"/>
      </w:pPr>
      <w:r>
        <w:t xml:space="preserve">2.3.7.3 Việt Nam (n=3.077, 3 đợt khảo sát) — cập nhật ADB Vietnam Outlook 2026</w:t>
      </w:r>
    </w:p>
    <w:p>
      <w:pPr>
        <w:pStyle w:val="FirstParagraph"/>
      </w:pPr>
      <w:r>
        <w:t xml:space="preserve">FSTS 23,2% → 17,9% → 16,1% (suy giảm theo thời gian); doanh nghiệp xuất khẩu 37,1% → 23,8%; ISO 17–23%; R&amp;D 6,1% (2023). Pattern</w:t>
      </w:r>
      <w:r>
        <w:t xml:space="preserve"> </w:t>
      </w:r>
      <w:r>
        <w:rPr>
          <w:bCs/>
          <w:b/>
        </w:rPr>
        <w:t xml:space="preserve">kinh tế hai tầng</w:t>
      </w:r>
      <w:r>
        <w:t xml:space="preserve"> </w:t>
      </w:r>
      <w:r>
        <w:t xml:space="preserve">— FDI hướng xuất khẩu hiệu quả cao đan xen với doanh nghiệp nội địa năng suất thấp (CIEM, 2023).</w:t>
      </w:r>
    </w:p>
    <w:p>
      <w:pPr>
        <w:pStyle w:val="BodyText"/>
      </w:pPr>
      <w:r>
        <w:rPr>
          <w:bCs/>
          <w:b/>
        </w:rPr>
        <w:t xml:space="preserve">Bối cảnh 2026 — ADB Vietnam Economic Outlook</w:t>
      </w:r>
      <w:r>
        <w:t xml:space="preserve">: Việt Nam dự phóng GDP</w:t>
      </w:r>
      <w:r>
        <w:t xml:space="preserve"> </w:t>
      </w:r>
      <w:r>
        <w:rPr>
          <w:bCs/>
          <w:b/>
        </w:rPr>
        <w:t xml:space="preserve">7,2% (2026) / 7,0% (2027)</w:t>
      </w:r>
      <w:r>
        <w:t xml:space="preserve"> </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downstream sang thiết kế và R&amp;D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w:t>
      </w:r>
    </w:p>
    <w:bookmarkEnd w:id="60"/>
    <w:bookmarkStart w:id="61" w:name="trung-quốc-n4.889"/>
    <w:p>
      <w:pPr>
        <w:pStyle w:val="Heading4"/>
      </w:pPr>
      <w:r>
        <w:t xml:space="preserve">2.3.7.4 Trung Quốc (n=4.889)</w:t>
      </w:r>
    </w:p>
    <w:p>
      <w:pPr>
        <w:pStyle w:val="FirstParagraph"/>
      </w:pPr>
      <w:r>
        <w:t xml:space="preserve">FSTS 10,9% → 8,8%; FDI ≥10% chiếm 6,0%. Quan hệ FSTS – năng suất là hàm bậc ba với điểm uốn ~47,8% (Đỗ &amp; Phan, 2026 — JFAR).</w:t>
      </w:r>
      <w:r>
        <w:t xml:space="preserve"> </w:t>
      </w:r>
      <w:r>
        <w:rPr>
          <w:bCs/>
          <w:b/>
        </w:rPr>
        <w:t xml:space="preserve">Rủi ro tập trung</w:t>
      </w:r>
      <w:r>
        <w:t xml:space="preserve">: Wang, Huang và Hong (2024 — IRFA) phân tích 80% mô hình rủi ro ngân hàng tại Trung Quốc phụ thuộc các nhà cung cấp công nghệ chi phối thị trường — cảnh báo cho lộ trình sản xuất thông minh.</w:t>
      </w:r>
    </w:p>
    <w:bookmarkEnd w:id="61"/>
    <w:bookmarkStart w:id="62" w:name="X899cb513c960898c1a25d20448f39c61b9b2c62"/>
    <w:p>
      <w:pPr>
        <w:pStyle w:val="Heading4"/>
      </w:pPr>
      <w:r>
        <w:t xml:space="preserve">2.3.7.5 Tổng hợp Emerging Asia (n=42.278) — trường hợp Ấn Độ</w:t>
      </w:r>
    </w:p>
    <w:p>
      <w:pPr>
        <w:pStyle w:val="FirstParagraph"/>
      </w:pPr>
      <w:r>
        <w:t xml:space="preserve">FSTS 7,6%; FDI ≥10% chiếm 4,4%; tỷ lệ doanh nghiệp R&amp;D dương 16%. Phân tán nội bộ lớn (độ lệch chuẩn log 2,18) — phản ánh dị biệt rộng xuyên 7 nước.</w:t>
      </w:r>
    </w:p>
    <w:p>
      <w:pPr>
        <w:pStyle w:val="BodyText"/>
      </w:pPr>
      <w:r>
        <w:rPr>
          <w:bCs/>
          <w:b/>
        </w:rPr>
        <w:t xml:space="preserve">Trường hợp Ấn Độ — lan tỏa công nghệ</w:t>
      </w:r>
      <w:r>
        <w:t xml:space="preserve">: Theo Sikdar &amp; Mukhopadhyay (2026 —</w:t>
      </w:r>
      <w:r>
        <w:t xml:space="preserve"> </w:t>
      </w:r>
      <w:r>
        <w:rPr>
          <w:iCs/>
          <w:i/>
        </w:rPr>
        <w:t xml:space="preserve">Asian Development Review, 43</w:t>
      </w:r>
      <w:r>
        <w:t xml:space="preserve">(1), 37–75), panel 4.293 doanh nghiệp Ấn Độ 2006–2019: FDI là kênh lan tỏa ngang quan trọng nhất; doanh nghiệp lớn thu nhận lan tỏa nhiều hơn; FDI tăng từ 1,705 triệu USD (1990–2000) → 42,396 triệu USD (2012–2022); R&amp;D trì trệ ở 0,7% GDP.</w:t>
      </w:r>
    </w:p>
    <w:bookmarkEnd w:id="62"/>
    <w:bookmarkStart w:id="63" w:name="X7b66a270a9cf1e965c06d68bbffe282f59d2e9a"/>
    <w:p>
      <w:pPr>
        <w:pStyle w:val="Heading4"/>
      </w:pPr>
      <w:r>
        <w:t xml:space="preserve">2.3.7.6 Mông Cổ — từ lời nguyền tài nguyên đến khoáng sản thiết yếu (n=1.905)</w:t>
      </w:r>
    </w:p>
    <w:p>
      <w:pPr>
        <w:pStyle w:val="FirstParagraph"/>
      </w:pPr>
      <w:r>
        <w:t xml:space="preserve">FSTS đình trệ 4–6%; FDI ≥10% giảm</w:t>
      </w:r>
      <w:r>
        <w:t xml:space="preserve"> </w:t>
      </w:r>
      <w:r>
        <w:rPr>
          <w:bCs/>
          <w:b/>
        </w:rPr>
        <w:t xml:space="preserve">7,2% → 3,2%</w:t>
      </w:r>
      <w:r>
        <w:t xml:space="preserve">; website tăng 39% → 65%. Pattern</w:t>
      </w:r>
      <w:r>
        <w:t xml:space="preserve"> </w:t>
      </w:r>
      <w:r>
        <w:rPr>
          <w:bCs/>
          <w:b/>
        </w:rPr>
        <w:t xml:space="preserve">lời nguyền tài nguyên</w:t>
      </w:r>
      <w:r>
        <w:t xml:space="preserve"> </w:t>
      </w:r>
      <w:r>
        <w:t xml:space="preserve">(Sachs &amp; Warner, 2001).</w:t>
      </w:r>
      <w:r>
        <w:t xml:space="preserve"> </w:t>
      </w:r>
      <w:r>
        <w:rPr>
          <w:bCs/>
          <w:b/>
        </w:rPr>
        <w:t xml:space="preserve">Bước ngoặt 2026</w:t>
      </w:r>
      <w:r>
        <w:t xml:space="preserve">: 11 khoáng sản thiết yếu (Cu, Li, Mo, Mn, Co, Ni, W, REE). Xuất khẩu đồng 1,69 triệu tấn (2024) = 22,1% tổng xuất khẩu. Oyu Tolgoi mục tiêu 500.000 tấn/năm 2028–2036. Trung Quốc chi phối chế biến: 100% graphite, 90% Mn, 70% Co (ADB, 2026, tháng 5).</w:t>
      </w:r>
    </w:p>
    <w:p>
      <w:pPr>
        <w:pStyle w:val="BodyText"/>
      </w:pPr>
      <w:r>
        <w:rPr>
          <w:iCs/>
          <w:i/>
        </w:rPr>
        <w:t xml:space="preserve">Hình 2.3.7.1. Mông Cổ: Tiến triển 2009–2025 (4 đợt khảo sát WBES) — FSTS đình trệ trong khi website tăng mạnh; FDI giảm phản ánh lời nguyền tài nguyên giai đoạn 1.</w:t>
      </w:r>
    </w:p>
    <w:bookmarkEnd w:id="63"/>
    <w:bookmarkStart w:id="64" w:name="sids-thái-bình-dương-7-nước-n1.371"/>
    <w:p>
      <w:pPr>
        <w:pStyle w:val="Heading4"/>
      </w:pPr>
      <w:r>
        <w:t xml:space="preserve">2.3.7.7 SIDS Thái Bình Dương (7 nước — n=1.371)</w:t>
      </w:r>
    </w:p>
    <w:p>
      <w:pPr>
        <w:pStyle w:val="FirstParagraph"/>
      </w:pPr>
      <w:r>
        <w:rPr>
          <w:bCs/>
          <w:b/>
        </w:rPr>
        <w:t xml:space="preserve">7 nước</w:t>
      </w:r>
      <w:r>
        <w:t xml:space="preserve">: Fiji (FJI), Papua New Guinea (PNG), Solomon Islands (SLB), Tonga (TON), Vanuatu (VUT), Samoa (WSM),</w:t>
      </w:r>
      <w:r>
        <w:t xml:space="preserve"> </w:t>
      </w:r>
      <w:r>
        <w:rPr>
          <w:bCs/>
          <w:b/>
        </w:rPr>
        <w:t xml:space="preserve">Kiribati (KIR — 2025)</w:t>
      </w:r>
      <w:r>
        <w:t xml:space="preserve">. FSTS 6,3%; FDI ≥10%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w:t>
      </w:r>
      <w:r>
        <w:t xml:space="preserve">.</w:t>
      </w:r>
    </w:p>
    <w:p>
      <w:pPr>
        <w:pStyle w:val="BodyText"/>
      </w:pPr>
      <w:r>
        <w:rPr>
          <w:bCs/>
          <w:b/>
        </w:rPr>
        <w:t xml:space="preserve">Kiribati 2025 — trường hợp biên cực đoan nhất</w:t>
      </w:r>
      <w:r>
        <w:t xml:space="preserve">: FSTS 1,03%, FDI 0,7%, website 18,7%, ISO 1,3%, độ lệch chuẩn log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 ODA 30% GDP và remittances 25–40% GDP; (3) thanh niên thất nghiệp 15–30%; (4) lao động di chuyển —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64"/>
    <w:bookmarkStart w:id="65" w:name="so-sánh-tổng-hợp"/>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Mông Cổ</w:t>
            </w:r>
          </w:p>
        </w:tc>
        <w:tc>
          <w:tcPr/>
          <w:p>
            <w:pPr>
              <w:pStyle w:val="Compact"/>
              <w:jc w:val="left"/>
            </w:pPr>
            <w:r>
              <w:t xml:space="preserve">SIDS TBD</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rPr>
          <w:iCs/>
          <w:i/>
        </w:rPr>
        <w:t xml:space="preserve">Bao gồm Kiribati 2025 trong hàng SIDS.</w:t>
      </w:r>
    </w:p>
    <w:p>
      <w:r>
        <w:pict>
          <v:rect style="width:0;height:1.5pt" o:hralign="center" o:hrstd="t" o:hr="t"/>
        </w:pict>
      </w:r>
    </w:p>
    <w:bookmarkEnd w:id="65"/>
    <w:bookmarkEnd w:id="66"/>
    <w:bookmarkStart w:id="70" w:name="yếu-tố-giải-thích-sơ-bộ"/>
    <w:p>
      <w:pPr>
        <w:pStyle w:val="Heading3"/>
      </w:pPr>
      <w:r>
        <w:t xml:space="preserve">2.3.8 Yếu tố giải thích sơ bộ</w:t>
      </w:r>
    </w:p>
    <w:bookmarkStart w:id="67" w:name="hệ-số-tương-quan-pearson"/>
    <w:p>
      <w:pPr>
        <w:pStyle w:val="Heading4"/>
      </w:pPr>
      <w:r>
        <w:t xml:space="preserve">2.3.8.1 Hệ số tương quan Pearson</w:t>
      </w:r>
    </w:p>
    <w:p>
      <w:pPr>
        <w:pStyle w:val="FirstParagraph"/>
      </w:pPr>
      <w:r>
        <w:rPr>
          <w:bCs/>
          <w:b/>
        </w:rPr>
        <w:t xml:space="preserve">Bảng 2.3.8.1</w:t>
      </w:r>
      <w:r>
        <w:t xml:space="preserve">.</w:t>
      </w:r>
      <w:r>
        <w:t xml:space="preserve"> </w:t>
      </w:r>
      <w:r>
        <w:rPr>
          <w:iCs/>
          <w:i/>
        </w:rPr>
        <w:t xml:space="preserve">Hệ số tương quan Pearson theo nhóm ICRV (n = 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iCs/>
          <w:i/>
        </w:rPr>
        <w:t xml:space="preserve">Ghi chú: Tất cả hệ số có p &lt; 0,01 (kiểm định hai phía). Sai số chuẩn vững HC1.</w:t>
      </w:r>
    </w:p>
    <w:p>
      <w:pPr>
        <w:pStyle w:val="BodyText"/>
      </w:pPr>
      <w:r>
        <w:t xml:space="preserve">Sáu phát hiện chính: (1) FDI dương mạnh ở SIDS (+0,222) — FDI ngoại sinh là nguồn năng suất chủ đạo; (2) FDI âm tại Advanced (−0,113) — doanh nghiệp FDI không có lợi thế tại thị trường trưởng thành; (3) FSTS dương tại Advanced (+0,113) — xác nhận lý thuyết Uppsala; (4) TCI dương đồng đều SIDS và Advanced; (5) DAI âm tại Advanced (−0,129) — Nghịch lý bão hòa số; (6) Đảo dấu cross-regime — thể chế điều tiết chiều hướng cơ chế (Xu, 2024).</w:t>
      </w:r>
    </w:p>
    <w:p>
      <w:pPr>
        <w:pStyle w:val="BodyText"/>
      </w:pPr>
      <w:r>
        <w:rPr>
          <w:bCs/>
          <w:b/>
        </w:rPr>
        <w:t xml:space="preserve">Cảnh báo schema BREADY 2025</w:t>
      </w:r>
      <w:r>
        <w:t xml:space="preserve">: Bảng 2.3.8.1 có thể bị nhiễu hiệu ứng schema — cần kiểm chứng qua hệ thống phòng thủ ba tầng (§2.2) trước khi suy diễn nhân quả.</w:t>
      </w:r>
    </w:p>
    <w:bookmarkEnd w:id="67"/>
    <w:bookmarkStart w:id="68" w:name="X7a2cacb152e06bbc0cb3173c16d9e101bae83b4"/>
    <w:p>
      <w:pPr>
        <w:pStyle w:val="Heading4"/>
      </w:pPr>
      <w:r>
        <w:t xml:space="preserve">2.3.8.2 Pattern giới tính trong quản lý và sở hữu — EAP dẫn đầu toàn cầu</w:t>
      </w:r>
    </w:p>
    <w:p>
      <w:pPr>
        <w:pStyle w:val="FirstParagraph"/>
      </w:pPr>
      <w:r>
        <w:rPr>
          <w:bCs/>
          <w:b/>
        </w:rPr>
        <w:t xml:space="preserve">Bảng 2.3.8.2</w:t>
      </w:r>
      <w:r>
        <w:t xml:space="preserve">.</w:t>
      </w:r>
      <w:r>
        <w:t xml:space="preserve"> </w:t>
      </w:r>
      <w:r>
        <w:rPr>
          <w:iCs/>
          <w:i/>
        </w:rPr>
        <w:t xml:space="preserve">Pattern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EAP paradox — quản lý dẫn đầu toàn cầu nhưng ownership ceiling thấp hơn management ceiling 7,7 điểm; (b) MENA bottleneck — rào cản thể chế kép trong bối cảnh nhà nước tô (Beblawi, 1987); (c) 43/50 nền kinh tế có tỷ lệ nữ trong nhóm quản trị cấp cao cao hơn nữ sở hữu đa số; (d) hàm ý cho Chuyên đề 2: tương tác giới tính × FSTS dương tại Emerging (kênh quan hệ, Hambrick &amp; Mason, 1984) nhưng không có ý nghĩa thống kê tại Advanced.</w:t>
      </w:r>
    </w:p>
    <w:bookmarkEnd w:id="68"/>
    <w:bookmarkStart w:id="69" w:name="X722b5d08b43e844213bbd3d2ce6ee0ceb749773"/>
    <w:p>
      <w:pPr>
        <w:pStyle w:val="Heading4"/>
      </w:pPr>
      <w:r>
        <w:t xml:space="preserve">2.3.8.3 Đường cong U của đổi mới số — từ chi phí đầu tư đến phần bù năng suất</w:t>
      </w:r>
    </w:p>
    <w:p>
      <w:pPr>
        <w:pStyle w:val="FirstParagraph"/>
      </w:pPr>
      <w:r>
        <w:t xml:space="preserve">Quan hệ giữa cường độ đầu tư số và năng suất có hình dạng phi tuyến —</w:t>
      </w:r>
      <w:r>
        <w:t xml:space="preserve"> </w:t>
      </w:r>
      <w:r>
        <w:rPr>
          <w:bCs/>
          <w:b/>
        </w:rPr>
        <w:t xml:space="preserve">đường cong U theo thời gian</w:t>
      </w:r>
      <w:r>
        <w:t xml:space="preserve"> </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DAI = −0,129 tại Advanced — giai đoạn</w:t>
      </w:r>
      <w:r>
        <w:t xml:space="preserve"> </w:t>
      </w:r>
      <w:r>
        <w:t xml:space="preserve">“</w:t>
      </w:r>
      <w:r>
        <w:t xml:space="preserve">sân khấu số</w:t>
      </w:r>
      <w:r>
        <w:t xml:space="preserve">”</w:t>
      </w:r>
      <w:r>
        <w:t xml:space="preserve"> </w:t>
      </w:r>
      <w:r>
        <w:t xml:space="preserve">(Verhoef et al., 2021).</w:t>
      </w:r>
    </w:p>
    <w:p>
      <w:pPr>
        <w:pStyle w:val="BodyText"/>
      </w:pPr>
      <w:r>
        <w:rPr>
          <w:bCs/>
          <w:b/>
        </w:rPr>
        <w:t xml:space="preserve">Giai đoạn 2</w:t>
      </w:r>
      <w:r>
        <w:t xml:space="preserve"> </w:t>
      </w:r>
      <w:r>
        <w:t xml:space="preserve">(năm 3–5): Vùng chuyển tiếp. Ngưỡng: ≥ 3% doanh thu/năm × ≥ 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(Tier-2 mature); FSTS²×DAI = +3,119 (p = 0,005) tại Singapore — DAI khuếch đại quan hệ quốc tế hóa – hiệu quả tại doanh nghiệp FSTS cao.</w:t>
      </w:r>
    </w:p>
    <w:p>
      <w:pPr>
        <w:pStyle w:val="BodyText"/>
      </w:pPr>
      <w:r>
        <w:rPr>
          <w:bCs/>
          <w:b/>
        </w:rPr>
        <w:t xml:space="preserve">Liên kết CDCM</w:t>
      </w:r>
      <w:r>
        <w:t xml:space="preserve">: Giai đoạn 1 = proxy cơ chế lỗi thời (DAI Tier-1 bão hòa); Giai đoạn 3 = cơ chế phụ thuộc giai đoạn (DAI Tier-2 có phần bù có điều kiện). Hai cơ chế bổ sung nhau khi kiểm soát thế hệ số.</w:t>
      </w:r>
    </w:p>
    <w:p>
      <w:r>
        <w:pict>
          <v:rect style="width:0;height:1.5pt" o:hralign="center" o:hrstd="t" o:hr="t"/>
        </w:pict>
      </w:r>
    </w:p>
    <w:bookmarkEnd w:id="69"/>
    <w:bookmarkEnd w:id="70"/>
    <w:bookmarkStart w:id="75" w:name="thảo-luận-tổng-hợp"/>
    <w:p>
      <w:pPr>
        <w:pStyle w:val="Heading3"/>
      </w:pPr>
      <w:r>
        <w:t xml:space="preserve">2.3.9 Thảo luận tổng hợp</w:t>
      </w:r>
    </w:p>
    <w:bookmarkStart w:id="71" w:name="mười-kết-luận-tổng-hợp-từ-dữ-liệu-wbes"/>
    <w:p>
      <w:pPr>
        <w:pStyle w:val="Heading4"/>
      </w:pPr>
      <w:r>
        <w:t xml:space="preserve">2.3.9.1 Mười kết luận tổng hợp từ dữ liệu WBES</w:t>
      </w:r>
    </w:p>
    <w:p>
      <w:pPr>
        <w:pStyle w:val="FirstParagraph"/>
      </w:pPr>
      <w:r>
        <w:rPr>
          <w:bCs/>
          <w:b/>
        </w:rPr>
        <w:t xml:space="preserve">(i) Phân tán năng suất nội bộ tăng đơn điệu</w:t>
      </w:r>
      <w:r>
        <w:t xml:space="preserve">: Advanced 0,86 → Upper-middle 1,29 ≈ Emerging 1,24 ≈ SIDS 1,32 → Frontier 1,36. Tỷ số P90/P10 leo từ 10,8 lần lên 39,6 lần.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Tỷ số phân tán Singapore (1,03) so với Vùng Vịnh (0,49) ≈</w:t>
      </w:r>
      <w:r>
        <w:t xml:space="preserve"> </w:t>
      </w:r>
      <w:r>
        <w:rPr>
          <w:bCs/>
          <w:b/>
        </w:rPr>
        <w:t xml:space="preserve">2,1 lần</w:t>
      </w:r>
      <w:r>
        <w:t xml:space="preserve"> </w:t>
      </w:r>
      <w:r>
        <w:t xml:space="preserve">— cần phân nhóm con Advanced trong Chuyên đề 2.</w:t>
      </w:r>
    </w:p>
    <w:p>
      <w:pPr>
        <w:pStyle w:val="BodyText"/>
      </w:pPr>
      <w:r>
        <w:rPr>
          <w:bCs/>
          <w:b/>
        </w:rPr>
        <w:t xml:space="preserve">(iii) Dị biệt nội bộ phân nhóm Emerging — 3 phân nhóm con</w:t>
      </w:r>
      <w:r>
        <w:t xml:space="preserve">: FDI dẫn dắt SEA (VNM+IDN+PHL, FSTS 13,2%) ≠ dân số lớn (IND+LKA+JOR, FSTS 7,2%) ≠ tài nguyên (MNG, FSTS 5,0%).</w:t>
      </w:r>
    </w:p>
    <w:p>
      <w:pPr>
        <w:pStyle w:val="BodyText"/>
      </w:pPr>
      <w:r>
        <w:rPr>
          <w:bCs/>
          <w:b/>
        </w:rPr>
        <w:t xml:space="preserve">(iv) SIDS Pacific — Kiribati 2025 là trường hợp biên cực đoan nhất</w:t>
      </w:r>
      <w:r>
        <w:t xml:space="preserve">: FSTS 1,03%, FDI 0,7%, website 18,7%, ISO 1,3% —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15–23% doanh nghiệp xuất khẩu. Cần lựa chọn hai giai đoạn trong Chuyên đề 2.</w:t>
      </w:r>
    </w:p>
    <w:p>
      <w:pPr>
        <w:pStyle w:val="BodyText"/>
      </w:pPr>
      <w:r>
        <w:rPr>
          <w:bCs/>
          <w:b/>
        </w:rPr>
        <w:t xml:space="preserve">(vi) Nhảy vọt số 2018–2025</w:t>
      </w:r>
      <w:r>
        <w:t xml:space="preserve"> </w:t>
      </w:r>
      <w:r>
        <w:t xml:space="preserve">ở Frontier/Emerging/SIDS (+20–43 điểm phần trăm website). Phân biệt</w:t>
      </w:r>
      <w:r>
        <w:t xml:space="preserve"> </w:t>
      </w:r>
      <w:r>
        <w:rPr>
          <w:bCs/>
          <w:b/>
        </w:rPr>
        <w:t xml:space="preserve">Tier-1 Sự hiện diện số cơ bản</w:t>
      </w:r>
      <w:r>
        <w:t xml:space="preserve"> </w:t>
      </w:r>
      <w:r>
        <w:t xml:space="preserve">(đã bão hòa ở Advanced) và</w:t>
      </w:r>
      <w:r>
        <w:t xml:space="preserve"> </w:t>
      </w:r>
      <w:r>
        <w:rPr>
          <w:bCs/>
          <w:b/>
        </w:rPr>
        <w:t xml:space="preserve">Tier-2 Chuyển đổi số cơ bản</w:t>
      </w:r>
      <w:r>
        <w:t xml:space="preserve"> </w:t>
      </w:r>
      <w:r>
        <w:t xml:space="preserve">(đang phát triển). Hệ số âm DAI Advanced (-0,129) là tạo phẩm bão hòa Tier-1 — xem kiểm định loại trừ ICT tại §2.3.4.3.</w:t>
      </w:r>
    </w:p>
    <w:p>
      <w:pPr>
        <w:pStyle w:val="BodyText"/>
      </w:pPr>
      <w:r>
        <w:rPr>
          <w:bCs/>
          <w:b/>
        </w:rPr>
        <w:t xml:space="preserve">(vii) Pattern phi tuyến FDI ≥10%</w:t>
      </w:r>
      <w:r>
        <w:t xml:space="preserve"> </w:t>
      </w:r>
      <w:r>
        <w:t xml:space="preserve">— dạng chữ U với cực tiểu Emerging (4,7%): Advanced 11,1% → Emerging 4,7% → SIDS 23,5%. Hai mô hình FDI: MNE hub (Advanced) và du lịch/viễn thông (SIDS).</w:t>
      </w:r>
    </w:p>
    <w:p>
      <w:pPr>
        <w:pStyle w:val="BodyText"/>
      </w:pPr>
      <w:r>
        <w:rPr>
          <w:bCs/>
          <w:b/>
        </w:rPr>
        <w:t xml:space="preserve">(viii) Đợt khảo sát 2025 — mẫu đơn năm lớn nhất</w:t>
      </w:r>
      <w:r>
        <w:t xml:space="preserve">: 14 nước × 16.979 doanh nghiệp. Ấn Độ FSTS sụt 5 điểm phần trăm (hiệu ứng schema); Fiji website 74,8% &gt; Singapore 66,1%; Kiribati đối lập cực đoan với Fiji.</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71"/>
    <w:bookmarkStart w:id="72" w:name="năm-khoảng-trống-nghiên-cứu"/>
    <w:p>
      <w:pPr>
        <w:pStyle w:val="Heading4"/>
      </w:pPr>
      <w:r>
        <w:t xml:space="preserve">2.3.9.2 Năm khoảng trống nghiên cứu</w:t>
      </w:r>
    </w:p>
    <w:p>
      <w:pPr>
        <w:pStyle w:val="FirstParagraph"/>
      </w:pPr>
      <w:r>
        <w:rPr>
          <w:bCs/>
          <w:b/>
        </w:rPr>
        <w:t xml:space="preserve">KT1 —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108 cặp quốc gia–năm.</w:t>
      </w:r>
    </w:p>
    <w:p>
      <w:pPr>
        <w:pStyle w:val="BodyText"/>
      </w:pPr>
      <w:r>
        <w:rPr>
          <w:bCs/>
          <w:b/>
        </w:rPr>
        <w:t xml:space="preserve">KT2 — Phân nhóm con Advanced: innovation-driven so với resource-driven chưa được hệ thống hóa</w:t>
      </w:r>
      <w:r>
        <w:t xml:space="preserve">: Nghiên cứu hiện hành (Bausch &amp; Krist, 2007; Kirca et al., 2012) gộp tất cả OECD vào</w:t>
      </w:r>
      <w:r>
        <w:t xml:space="preserve"> </w:t>
      </w:r>
      <w:r>
        <w:t xml:space="preserve">“</w:t>
      </w:r>
      <w:r>
        <w:t xml:space="preserve">phát triển</w:t>
      </w:r>
      <w:r>
        <w:t xml:space="preserve">”</w:t>
      </w:r>
      <w:r>
        <w:t xml:space="preserve">. Bằng chứng Singapore so với Saudi Arabia/Qatar/Kuwait cho thấy hai phân nhóm có pattern hoàn toàn khác nhau.</w:t>
      </w:r>
    </w:p>
    <w:p>
      <w:pPr>
        <w:pStyle w:val="BodyText"/>
      </w:pPr>
      <w:r>
        <w:rPr>
          <w:bCs/>
          <w:b/>
        </w:rPr>
        <w:t xml:space="preserve">KT3 — Xác nhận nhân quả Nghịch lý bão hòa số qua ước lượng biến công cụ</w:t>
      </w:r>
      <w:r>
        <w:t xml:space="preserve">: Hệ số DAI âm (−0,129) có thể phản ánh: (a) bão hòa thực sự; (b) nhân quả ngược; (c) bias biến bỏ sót. Biến công cụ hợp lệ (độ phủ băng thông rộng) cần thiết để phân biệt.</w:t>
      </w:r>
    </w:p>
    <w:p>
      <w:pPr>
        <w:pStyle w:val="BodyText"/>
      </w:pPr>
      <w:r>
        <w:rPr>
          <w:bCs/>
          <w:b/>
        </w:rPr>
        <w:t xml:space="preserve">KT4 — Dị biệt theo thời gian ba giai đoạn 2009–2025 chưa được tổng hợp</w:t>
      </w:r>
      <w:r>
        <w:t xml:space="preserve">: Bằng chứng từ kiểm định Paternoster cho thấy bất ổn định tham số quan trọng giữa ba giai đoạn.</w:t>
      </w:r>
    </w:p>
    <w:p>
      <w:pPr>
        <w:pStyle w:val="BodyText"/>
      </w:pPr>
      <w:r>
        <w:rPr>
          <w:bCs/>
          <w:b/>
        </w:rPr>
        <w:t xml:space="preserve">KT5 — SIDS Pacific như trường hợp biên lý thuyết của thuyết Uppsala</w:t>
      </w:r>
      <w:r>
        <w:t xml:space="preserve">: Chi phí buộc phải quốc tế hóa tại 7 SIDS không khớp với bất kỳ dạng hàm quốc tế hóa – hiệu quả nào trong văn liệu. Cần khung kết hợp MIRAB và Briguglio (1995) và quan điểm dựa trên nguồn lực.</w:t>
      </w:r>
    </w:p>
    <w:bookmarkEnd w:id="72"/>
    <w:bookmarkStart w:id="73" w:name="hàm-ý-lý-thuyết"/>
    <w:p>
      <w:pPr>
        <w:pStyle w:val="Heading4"/>
      </w:pPr>
      <w:r>
        <w:t xml:space="preserve">2.3.9.3 Hàm ý lý thuyết</w:t>
      </w:r>
    </w:p>
    <w:p>
      <w:pPr>
        <w:pStyle w:val="FirstParagraph"/>
      </w:pPr>
      <w:r>
        <w:rPr>
          <w:bCs/>
          <w:b/>
        </w:rPr>
        <w:t xml:space="preserve">(1) Uppsala có điều kiện — không phổ quát</w:t>
      </w:r>
      <w:r>
        <w:t xml:space="preserve">: FSTS dương tại Advanced, không có ý nghĩa tại Frontier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 vượt qua</w:t>
      </w:r>
      <w:r>
        <w:t xml:space="preserve"> </w:t>
      </w:r>
      <w:r>
        <w:t xml:space="preserve">“</w:t>
      </w:r>
      <w:r>
        <w:t xml:space="preserve">phần bù số</w:t>
      </w:r>
      <w:r>
        <w:t xml:space="preserve">”</w:t>
      </w:r>
      <w:r>
        <w:t xml:space="preserve"> </w:t>
      </w:r>
      <w:r>
        <w:t xml:space="preserve">đồng nhất (Verhoef et al., 2021).</w:t>
      </w:r>
    </w:p>
    <w:p>
      <w:pPr>
        <w:pStyle w:val="BodyText"/>
      </w:pPr>
      <w:r>
        <w:rPr>
          <w:bCs/>
          <w:b/>
        </w:rPr>
        <w:t xml:space="preserve">(3) Giao diện Đổi mới-Hiệu suất Nâng cao (AIPI)</w:t>
      </w:r>
      <w:r>
        <w:t xml:space="preserve">: FSTS²×DAI = +3,119 tại Singapore gợi ý cơ chế mới — tại FSTS cao, doanh nghiệp cần DAI như</w:t>
      </w:r>
      <w:r>
        <w:t xml:space="preserve"> </w:t>
      </w:r>
      <w:r>
        <w:t xml:space="preserve">“</w:t>
      </w:r>
      <w:r>
        <w:t xml:space="preserve">phối hợp kỹ thuật số xuyên biên giới</w:t>
      </w:r>
      <w:r>
        <w:t xml:space="preserve">”</w:t>
      </w:r>
      <w:r>
        <w:t xml:space="preserve"> </w:t>
      </w:r>
      <w:r>
        <w:t xml:space="preserve">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Tier-1 là yếu tố vệ sinh bão hòa. Tại Emerging, DAI Tier-1 có thể là proxy lỗi thời — đo lường không còn phản ánh được cơ chế kinh tế thực.</w:t>
      </w:r>
    </w:p>
    <w:p>
      <w:pPr>
        <w:pStyle w:val="BodyText"/>
      </w:pPr>
      <w:r>
        <w:rPr>
          <w:bCs/>
          <w:b/>
        </w:rPr>
        <w:t xml:space="preserve">(5) Bối cảnh thể chế là tầng điều kiện, không phải yếu tố nền</w:t>
      </w:r>
      <w:r>
        <w:t xml:space="preserve">: Đảo dấu cross-regime không phải nhiễu mà là tín hiệu lý thuyết. Nghiên cứu kinh doanh quốc tế tương lai nên kiểm định hiệu ứng điều tiết theo nhóm ICRV trước khi báo cáo kích thước hiệu ứng trung bình.</w:t>
      </w:r>
    </w:p>
    <w:bookmarkEnd w:id="73"/>
    <w:bookmarkStart w:id="74" w:name="hàm-ý-phương-pháp-luận"/>
    <w:p>
      <w:pPr>
        <w:pStyle w:val="Heading4"/>
      </w:pPr>
      <w:r>
        <w:t xml:space="preserve">2.3.9.4 Hàm ý phương pháp luận</w:t>
      </w:r>
    </w:p>
    <w:p>
      <w:pPr>
        <w:pStyle w:val="FirstParagraph"/>
      </w:pPr>
      <w:r>
        <w:rPr>
          <w:bCs/>
          <w:b/>
        </w:rPr>
        <w:t xml:space="preserve">(1) Pool WBES xuyên quốc gia như nền tảng dữ liệu cho kinh doanh quốc tế thị trường mới nổi</w:t>
      </w:r>
      <w:r>
        <w:t xml:space="preserve">: 101.185 doanh nghiệp từ 47 nền kinh tế là mẫu lớn nhất từ trước đến nay cho phân tích quốc tế hóa – hiệu quả toàn diện tại châu Á–Thái Bình Dương.</w:t>
      </w:r>
    </w:p>
    <w:p>
      <w:pPr>
        <w:pStyle w:val="BodyText"/>
      </w:pPr>
      <w:r>
        <w:rPr>
          <w:bCs/>
          <w:b/>
        </w:rPr>
        <w:t xml:space="preserve">(2) Hệ thống phòng thủ ba tầng cho panel đa thế hệ là đóng góp phương pháp luận</w:t>
      </w:r>
      <w:r>
        <w:t xml:space="preserve">: Ba tầng kiểm chứng — biến giả Post_BREADY_2024, kiểm định ổn định mô hình neo, panel hậu đại dịch độc lập — là giao thức có thể chuẩn hóa cho bất kỳ nghiên cứu dùng WBES với nhiều thế hệ schema.</w:t>
      </w:r>
    </w:p>
    <w:p>
      <w:pPr>
        <w:pStyle w:val="BodyText"/>
      </w:pPr>
      <w:r>
        <w:rPr>
          <w:bCs/>
          <w:b/>
        </w:rPr>
        <w:t xml:space="preserve">(3) Winsorize trong cụm quốc gia × năm tốt hơn winsorize tổng thể</w:t>
      </w:r>
      <w:r>
        <w:t xml:space="preserve">: Winsorize tổng thể bóp méo phân phối tại Frontier (độ lệch chuẩn log 2,18+). Winsorize trong cụm bảo tồn dị biệt cross-regime quan trọng về lý thuyết.</w:t>
      </w:r>
    </w:p>
    <w:p>
      <w:pPr>
        <w:pStyle w:val="BodyText"/>
      </w:pPr>
      <w:r>
        <w:rPr>
          <w:bCs/>
          <w:b/>
        </w:rPr>
        <w:t xml:space="preserve">(4)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cross-schema (ln_employees, FSTS, ISO, innovate_product, website, ln_LP) cho phép so sánh hệ số cấu trúc giữa PICS3 và BREADY.</w:t>
      </w:r>
    </w:p>
    <w:p>
      <w:r>
        <w:pict>
          <v:rect style="width:0;height:1.5pt" o:hralign="center" o:hrstd="t" o:hr="t"/>
        </w:pict>
      </w:r>
    </w:p>
    <w:bookmarkEnd w:id="74"/>
    <w:bookmarkEnd w:id="75"/>
    <w:bookmarkEnd w:id="76"/>
    <w:bookmarkStart w:id="81" w:name="kết-luận"/>
    <w:p>
      <w:pPr>
        <w:pStyle w:val="Heading2"/>
      </w:pPr>
      <w:r>
        <w:t xml:space="preserve">2.4 KẾT LUẬN</w:t>
      </w:r>
    </w:p>
    <w:bookmarkStart w:id="77" w:name="kết-luận-chính"/>
    <w:p>
      <w:pPr>
        <w:pStyle w:val="Heading3"/>
      </w:pPr>
      <w:r>
        <w:t xml:space="preserve">2.4.1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 — Phi tuyến xuyên chế độ thể chế là quy luật</w:t>
      </w:r>
      <w:r>
        <w:t xml:space="preserve">: U ngược tại Emerging (Việt Nam điểm uốn 39–46%; Trung Quốc điểm uốn 47–49%); gần tuyến tính tại Advanced (Singapore điểm uốn 88,6%); chi phí buộc phải tại SIDS.</w:t>
      </w:r>
    </w:p>
    <w:p>
      <w:pPr>
        <w:pStyle w:val="BodyText"/>
      </w:pPr>
      <w:r>
        <w:rPr>
          <w:bCs/>
          <w:b/>
        </w:rPr>
        <w:t xml:space="preserve">KL2 — TCI là dịch chuyển mức phổ quát, DAI là khuếch đại phụ thuộc bối cảnh</w:t>
      </w:r>
      <w:r>
        <w:t xml:space="preserve">: TCI dương ở mọi nhóm; DAI đổi dấu theo nhóm ICRV — đây là nội hàm cốt lõi của CDCM.</w:t>
      </w:r>
    </w:p>
    <w:p>
      <w:pPr>
        <w:pStyle w:val="BodyText"/>
      </w:pPr>
      <w:r>
        <w:rPr>
          <w:bCs/>
          <w:b/>
        </w:rPr>
        <w:t xml:space="preserve">KL3 — Nghịch lý bão hòa số là cơ chế đo lường, không phải thất bại thị trường</w:t>
      </w:r>
      <w:r>
        <w:t xml:space="preserve">: DAI âm tại Advanced là tạo phẩm của đo lường Tier-1 trong bối cảnh Tier-2/3 đã được áp dụng.</w:t>
      </w:r>
    </w:p>
    <w:p>
      <w:pPr>
        <w:pStyle w:val="BodyText"/>
      </w:pPr>
      <w:r>
        <w:rPr>
          <w:bCs/>
          <w:b/>
        </w:rPr>
        <w:t xml:space="preserve">KL4 — Thể chế là biến điều tiết, không phải biến trung gian</w:t>
      </w:r>
      <w:r>
        <w:t xml:space="preserve">: Gap de jure–de facto (Xu, 2024) giải thích đảo dấu FDI cross-regime. Chính sách nâng cao thể chế hiệu quả nhất khi song hành với nâng cấp TCI và DAI.</w:t>
      </w:r>
    </w:p>
    <w:p>
      <w:pPr>
        <w:pStyle w:val="BodyText"/>
      </w:pPr>
      <w:r>
        <w:rPr>
          <w:bCs/>
          <w:b/>
        </w:rPr>
        <w:t xml:space="preserve">KL5 — Dị biệt theo thời gian ba giai đoạn là thực tế cấu trúc</w:t>
      </w:r>
      <w:r>
        <w:t xml:space="preserve">: Hiệu ứng DAI mạnh hơn trong BREADY (sau tăng tốc số hóa hậu COVID-19). Hệ thống phòng thủ ba tầng đảm bảo kết luận không bị nhiễu schema.</w:t>
      </w:r>
    </w:p>
    <w:p>
      <w:pPr>
        <w:pStyle w:val="BodyText"/>
      </w:pPr>
      <w:r>
        <w:rPr>
          <w:bCs/>
          <w:b/>
        </w:rPr>
        <w:t xml:space="preserve">KL6 — EAP dẫn đầu toàn cầu về nữ quản lý cấp cao (33,4%) nhưng khoảng cách sở hữu dai dẳng</w:t>
      </w:r>
      <w:r>
        <w:t xml:space="preserve">: Trần kính ở lớp sở hữu chưa được phá vỡ dù management ceiling đang thu hẹp.</w:t>
      </w:r>
    </w:p>
    <w:p>
      <w:pPr>
        <w:pStyle w:val="BodyText"/>
      </w:pPr>
      <w:r>
        <w:rPr>
          <w:bCs/>
          <w:b/>
        </w:rPr>
        <w:t xml:space="preserve">KL7 — SIDS Pacific là trường hợp biên lý thuyết với chi phí buộc phải quốc tế hóa</w:t>
      </w:r>
      <w:r>
        <w:t xml:space="preserve">: FDI (+0,222) là nguồn năng suất chủ đạo; FSTS âm. Mô hình MIRAB phù hợp hơn mô hình Uppsala.</w:t>
      </w:r>
    </w:p>
    <w:p>
      <w:pPr>
        <w:pStyle w:val="BodyText"/>
      </w:pPr>
      <w:r>
        <w:rPr>
          <w:bCs/>
          <w:b/>
        </w:rPr>
        <w:t xml:space="preserve">KL8 — Phân nhóm con Advanced là cần thiết cho phân tích kinh doanh quốc tế châu Á</w:t>
      </w:r>
      <w:r>
        <w:t xml:space="preserve">: Singapore và Saudi Arabia/Qatar/Kuwait cùng nhãn</w:t>
      </w:r>
      <w:r>
        <w:t xml:space="preserve"> </w:t>
      </w:r>
      <w:r>
        <w:t xml:space="preserve">“</w:t>
      </w:r>
      <w:r>
        <w:t xml:space="preserve">Advanced</w:t>
      </w:r>
      <w:r>
        <w:t xml:space="preserve">”</w:t>
      </w:r>
      <w:r>
        <w:t xml:space="preserve"> </w:t>
      </w:r>
      <w:r>
        <w:t xml:space="preserve">nhưng pattern năng suất doanh nghiệp hoàn toàn khác nhau.</w:t>
      </w:r>
    </w:p>
    <w:bookmarkEnd w:id="77"/>
    <w:bookmarkStart w:id="80" w:name="hàm-ý-và-đề-xuất"/>
    <w:p>
      <w:pPr>
        <w:pStyle w:val="Heading3"/>
      </w:pPr>
      <w:r>
        <w:t xml:space="preserve">2.4.2 Hàm ý và đề xuất</w:t>
      </w:r>
    </w:p>
    <w:bookmarkStart w:id="78" w:name="Xb96aebe161983f7eb681db97895f4deb1f50458"/>
    <w:p>
      <w:pPr>
        <w:pStyle w:val="Heading4"/>
      </w:pPr>
      <w:r>
        <w:t xml:space="preserve">2.4.2.1 Hàm ý chính sách cho doanh nghiệp Việt Nam và khu vực châu Á</w:t>
      </w:r>
    </w:p>
    <w:p>
      <w:pPr>
        <w:pStyle w:val="FirstParagraph"/>
      </w:pPr>
      <w:r>
        <w:rPr>
          <w:bCs/>
          <w:b/>
        </w:rPr>
        <w:t xml:space="preserve">(1) Sequencing năng lực trước —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số cho SME Việt Nam</w:t>
      </w:r>
      <w:r>
        <w:t xml:space="preserve">: Website 47% là điểm đầu vào; VietQR, TikTok Shop, Shopee Asia Pacific là Tier-1.5/Tier-2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23,2% → 16,1% phản ánh FDI lắp ráp tăng nhưng giá trị gia tăng nội địa thấp. Các chỉ tiêu cần theo dõi: tỷ lệ R&amp;D/doanh thu, tỷ lệ nhà cung cấp nội địa Tier-1, bằng sáng chế đồng nộp.</w:t>
      </w:r>
    </w:p>
    <w:p>
      <w:pPr>
        <w:pStyle w:val="BodyText"/>
      </w:pPr>
      <w:r>
        <w:rPr>
          <w:bCs/>
          <w:b/>
        </w:rPr>
        <w:t xml:space="preserve">(4) Tái định vị chuỗi giá trị toàn cầu: lắp ráp downstream → thiết kế và R&amp;D mid-stream</w:t>
      </w:r>
      <w:r>
        <w:t xml:space="preserve">: Việt Nam ở điểm uốn (39–46%). Trung Quốc R&amp;D 39,4% và điểm uốn cao hơn (47–49%) cho thấy: TCI cao → điểm uốn cao → chịu đựng được mức độ quốc tế hóa cao hơn.</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 bối cảnh khác biệt quá lớn).</w:t>
      </w:r>
    </w:p>
    <w:p>
      <w:pPr>
        <w:pStyle w:val="BodyText"/>
      </w:pPr>
      <w:r>
        <w:rPr>
          <w:bCs/>
          <w:b/>
        </w:rPr>
        <w:t xml:space="preserve">(6) Chính sách số hóa phân cấp theo vùng và quy mô</w:t>
      </w:r>
      <w:r>
        <w:t xml:space="preserve">: Hiệu ứng DAI phụ thuộc bối cảnh — đầu tư website khác nhau tại TP.HCM (Tier-1.5) so với nông thôn đồng bằng sông Cửu Long (Tier-1 chưa bão hòa).</w:t>
      </w:r>
    </w:p>
    <w:p>
      <w:pPr>
        <w:pStyle w:val="BodyText"/>
      </w:pPr>
      <w:r>
        <w:rPr>
          <w:bCs/>
          <w:b/>
        </w:rPr>
        <w:t xml:space="preserve">(7) Hợp tác lao động di chuyển Pacific cho Việt Nam — bài học PLMS/RSE</w:t>
      </w:r>
      <w:r>
        <w:t xml:space="preserve">:</w:t>
      </w:r>
      <w:r>
        <w:t xml:space="preserve"> </w:t>
      </w:r>
      <w:r>
        <w:t xml:space="preserve">(a)</w:t>
      </w:r>
      <w:r>
        <w:t xml:space="preserve"> </w:t>
      </w:r>
      <w:r>
        <w:rPr>
          <w:bCs/>
          <w:b/>
        </w:rPr>
        <w:t xml:space="preserve">PLMS Úc</w:t>
      </w:r>
      <w:r>
        <w:t xml:space="preserve">: Học mô hình 30.000 lao động PICs/năm →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(Tier-3) — không phù hợp để sao chép trực tiếp;</w:t>
      </w:r>
      <w:r>
        <w:t xml:space="preserve"> </w:t>
      </w:r>
      <w:r>
        <w:t xml:space="preserve">(b) Nhật Bản 60% doanh nghiệp AI back-office (Tier-2) —</w:t>
      </w:r>
      <w:r>
        <w:t xml:space="preserve"> </w:t>
      </w:r>
      <w:r>
        <w:rPr>
          <w:bCs/>
          <w:b/>
        </w:rPr>
        <w:t xml:space="preserve">mục tiêu thực tế 2026–2030</w:t>
      </w:r>
      <w:r>
        <w:t xml:space="preserve">;</w:t>
      </w:r>
      <w:r>
        <w:t xml:space="preserve"> </w:t>
      </w:r>
      <w:r>
        <w:t xml:space="preserve">(c) Trung Quốc sản xuất thông minh (Tier-2/3) — học điểm tích cực, tránh rủi ro tập trung;</w:t>
      </w:r>
      <w:r>
        <w:t xml:space="preserve"> </w:t>
      </w:r>
      <w:r>
        <w:t xml:space="preserve">(d)</w:t>
      </w:r>
      <w:r>
        <w:t xml:space="preserve"> </w:t>
      </w:r>
      <w:r>
        <w:rPr>
          <w:bCs/>
          <w:b/>
        </w:rPr>
        <w:t xml:space="preserve">Mô hình ưu tiên Việt Nam Tier-1.5</w:t>
      </w:r>
      <w:r>
        <w:t xml:space="preserve">: VietQR (100% miễn phí) → Thương mại xã hội → Xuyên biên giới Shopee/Amazon → Cloud và AI cơ bản.</w:t>
      </w:r>
    </w:p>
    <w:bookmarkEnd w:id="78"/>
    <w:bookmarkStart w:id="79" w:name="định-hướng-cho-chuyên-đề-2"/>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 ROS, tăng trưởng doanh thu, tăng trưởng việc làm. Kết quả chính cần bền vững ≥ 2/3 biến phụ thuộc.</w:t>
      </w:r>
    </w:p>
    <w:p>
      <w:pPr>
        <w:pStyle w:val="BodyText"/>
      </w:pPr>
      <w:r>
        <w:rPr>
          <w:bCs/>
          <w:b/>
        </w:rPr>
        <w:t xml:space="preserve">(2) Lọc mẫu</w:t>
      </w:r>
      <w:r>
        <w:t xml:space="preserve">: Loại micro firms (&lt; 5 lao động) và doanh nghiệp nhà nước. Kết quả cần bền vững trong SME tư nhân (n ≈ 80.000+).</w:t>
      </w:r>
    </w:p>
    <w:p>
      <w:pPr>
        <w:pStyle w:val="BodyText"/>
      </w:pPr>
      <w:r>
        <w:rPr>
          <w:bCs/>
          <w:b/>
        </w:rPr>
        <w:t xml:space="preserve">(3) Thay phương pháp</w:t>
      </w:r>
      <w:r>
        <w:t xml:space="preserve">: OLS →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Placebo tests</w:t>
      </w:r>
      <w:r>
        <w:t xml:space="preserve">: Thay FSTS + TCI bằng biến nhiễu. Kết quả chính không được có ý nghĩa thống kê.</w:t>
      </w:r>
    </w:p>
    <w:p>
      <w:pPr>
        <w:pStyle w:val="BodyText"/>
      </w:pPr>
      <w:r>
        <w:rPr>
          <w:bCs/>
          <w:b/>
        </w:rPr>
        <w:t xml:space="preserve">(6) Nhạy cảm cutoffs ICRV</w:t>
      </w:r>
      <w:r>
        <w:t xml:space="preserve">: ±0,1 đơn vị WGI; PPP GDP/capita thay GNI; jackknife loại từng quốc gia (47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§2.2 — điều kiện tiên quyết trước khi báo cáo BREADY 2025 như bằng chứng nhân quả.</w:t>
      </w:r>
    </w:p>
    <w:p>
      <w:r>
        <w:pict>
          <v:rect style="width:0;height:1.5pt" o:hralign="center" o:hrstd="t" o:hr="t"/>
        </w:pict>
      </w:r>
    </w:p>
    <w:bookmarkEnd w:id="79"/>
    <w:bookmarkEnd w:id="80"/>
    <w:bookmarkEnd w:id="81"/>
    <w:bookmarkStart w:id="82"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Asia Business Studies</w:t>
      </w:r>
      <w:r>
        <w:t xml:space="preserve"> </w:t>
      </w:r>
      <w:r>
        <w:t xml:space="preserve">(under review).</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 </w:t>
      </w:r>
      <w:r>
        <w:t xml:space="preserve">(under review).</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82"/>
    <w:bookmarkStart w:id="84" w:name="phụ-lục"/>
    <w:p>
      <w:pPr>
        <w:pStyle w:val="Heading2"/>
      </w:pPr>
      <w:r>
        <w:t xml:space="preserve">PHỤ LỤC</w:t>
      </w:r>
    </w:p>
    <w:bookmarkStart w:id="83" w:name="Xac7090a743afa00f99b5424d88f7949cab3c6cf"/>
    <w:p>
      <w:pPr>
        <w:pStyle w:val="Heading3"/>
      </w:pPr>
      <w:r>
        <w:t xml:space="preserve">Phụ lục A —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 101.185 doanh nghiệp, 108 cặp quốc gia–năm.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 n xấp xỉ do hài hòa hóa loại quan sát thiếu biến phụ thuộc. Phân bổ chính xác tại Bảng 2.3.3.1.</w:t>
      </w:r>
    </w:p>
    <w:p>
      <w:pPr>
        <w:pStyle w:val="BodyText"/>
      </w:pPr>
      <w:r>
        <w:rPr>
          <w:bCs/>
          <w:b/>
        </w:rPr>
        <w:t xml:space="preserve">Ba thế hệ schema WBES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Phạm vi DAI</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Chỉ Tier-1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Chỉ Tier-1</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(thanh toán điện tử k33/k38)</w:t>
            </w:r>
          </w:p>
        </w:tc>
      </w:tr>
    </w:tbl>
    <w:p>
      <w:pPr>
        <w:pStyle w:val="BodyText"/>
      </w:pPr>
      <w:r>
        <w:t xml:space="preserve">Hệ thống phòng thủ ba tầng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 Phiên bản nộp (12/05/2026)</w:t>
      </w:r>
      <w:r>
        <w:t xml:space="preserve"> </w:t>
      </w:r>
      <w:r>
        <w:rPr>
          <w:iCs/>
          <w:i/>
        </w:rPr>
        <w:t xml:space="preserve">Nghiên cứu sinh: Đỗ Thùy Hương — Trường Đại học Kỹ thuật Công nghệ Vĩnh Long (VLUTE)</w:t>
      </w:r>
      <w:r>
        <w:t xml:space="preserve"> </w:t>
      </w:r>
      <w:r>
        <w:rPr>
          <w:iCs/>
          <w:i/>
        </w:rPr>
        <w:t xml:space="preserve">Người hướng dẫn: TS. Nguyễn Minh Cảnh — Trường Kinh tế, Đại học Cần Thơ (CTU)</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2026-05-12T20:14:09Z</dcterms:created>
  <dcterms:modified xsi:type="dcterms:W3CDTF">2026-05-12T20:14:09Z</dcterms:modified>
</cp:coreProperties>
</file>

<file path=docProps/custom.xml><?xml version="1.0" encoding="utf-8"?>
<Properties xmlns="http://schemas.openxmlformats.org/officeDocument/2006/custom-properties" xmlns:vt="http://schemas.openxmlformats.org/officeDocument/2006/docPropsVTypes"/>
</file>