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8.png" ContentType="image/png"/>
  <Override PartName="/word/media/rId51.png" ContentType="image/png"/>
  <Override PartName="/word/media/rId55.png" ContentType="image/png"/>
  <Override PartName="/word/media/rId71.png" ContentType="image/png"/>
  <Override PartName="/word/media/rId65.png" ContentType="image/png"/>
  <Override PartName="/word/media/rId74.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2006–2026</w:t>
      </w:r>
      <w:r>
        <w:t xml:space="preserve">, mở rộng so sánh với các quốc đảo nhỏ đang phát triển (SIDS) Thái Bình Dương như trường hợp biên. Phạm vi không gian gồm</w:t>
      </w:r>
      <w:r>
        <w:t xml:space="preserve"> </w:t>
      </w:r>
      <w:r>
        <w:rPr>
          <w:bCs/>
          <w:b/>
        </w:rPr>
        <w:t xml:space="preserve">50 nền kinh tế</w:t>
      </w:r>
      <w:r>
        <w:t xml:space="preserve"> </w:t>
      </w:r>
      <w:r>
        <w:t xml:space="preserve">(gồm Nhật Bản, lần đầu được WBES khảo sát năm 2025), phân thành 6 nhóm theo khung Biến thiên chế độ bối cảnh thể chế (ICRV): Advanced đổi mới sáng tạo dẫn dắt, Advanced tài nguyên dẫn dắt, trung bình cao, chuyển đổi thu nhập trung bình–thấp, đang nổi, và SIDS Thái Bình Dương (trường hợp biên mở rộng). Phần phân tích mô tả (Bảng 2.3.3–2.3.8) được tính trực tiếp từ dữ liệu vi mô World Bank Enterprise Surveys (WBES) trên</w:t>
      </w:r>
      <w:r>
        <w:t xml:space="preserve"> </w:t>
      </w:r>
      <w:r>
        <w:rPr>
          <w:bCs/>
          <w:b/>
        </w:rPr>
        <w:t xml:space="preserve">mẫu gộp mô tả gồm 88.869 doanh nghiệp, 103 cặp nền kinh tế × năm</w:t>
      </w:r>
      <w:r>
        <w:t xml:space="preserve">, kế thừa và mở rộng từ mẫu gộp 17 nền châu Á mới nổi (~40.633 doanh nghiệp) đã được tác giả công bố trước đó (Đỗ &amp; Phan, 2026, VEFR). Khung phân loại thống nhất với bộ dữ liệu ước lượng của luận án (khung phân tích 88.869 doanh nghiệp / 50 nền, gồm Nhật Bản; mẫu gộp phân loại 96.415 doanh nghiệp / 52 nền).</w:t>
      </w:r>
    </w:p>
    <w:p>
      <w:pPr>
        <w:pStyle w:val="BlockText"/>
      </w:pPr>
      <w:r>
        <w:rPr>
          <w:iCs/>
          <w:i/>
        </w:rPr>
        <w:t xml:space="preserve">Ghi chú dữ liệu: Chuyên đề sử dụng hai khung dữ liệu bổ trợ, thống nhất về danh sách 50 nền kinh tế và nhãn nhóm ICRV. (i)</w:t>
      </w:r>
      <w:r>
        <w:rPr>
          <w:iCs/>
          <w:i/>
        </w:rPr>
        <w:t xml:space="preserve"> </w:t>
      </w:r>
      <w:r>
        <w:rPr>
          <w:bCs/>
          <w:b/>
          <w:iCs/>
          <w:i/>
        </w:rPr>
        <w:t xml:space="preserve">Mẫu gộp mô tả</w:t>
      </w:r>
      <w:r>
        <w:rPr>
          <w:iCs/>
          <w:i/>
        </w:rPr>
        <w:t xml:space="preserve"> </w:t>
      </w:r>
      <w:r>
        <w:rPr>
          <w:iCs/>
          <w:i/>
        </w:rPr>
        <w:t xml:space="preserve">phục vụ toàn bộ thống kê Mục 2.3.3–2.3.8: 88.869 doanh nghiệp, 103 cặp nền kinh tế × năm (2006–2026), tính trực tiếp từ tệp vi mô WBES, mỗi cặp nền kinh tế × năm lấy đúng một lát cắt ngang chuẩn (loại các điều tra phi chính thức, siêu nhỏ và panel mở rộng), chỉ nhận các đợt khảo sát từ 2006 trở đi khi WBES áp dụng bộ câu hỏi so sánh được toàn cầu. Mẫu gộp này chứa đầy đủ các biến mô tả (R&amp;D, ISO, đổi mới, tham nhũng, giới) vốn không thuộc tập biến ước lượng. (ii)</w:t>
      </w:r>
      <w:r>
        <w:rPr>
          <w:iCs/>
          <w:i/>
        </w:rPr>
        <w:t xml:space="preserve"> </w:t>
      </w:r>
      <w:r>
        <w:rPr>
          <w:bCs/>
          <w:b/>
          <w:iCs/>
          <w:i/>
        </w:rPr>
        <w:t xml:space="preserve">Khung ước lượng</w:t>
      </w:r>
      <w:r>
        <w:rPr>
          <w:iCs/>
          <w:i/>
        </w:rPr>
        <w:t xml:space="preserve"> </w:t>
      </w:r>
      <w:r>
        <w:rPr>
          <w:iCs/>
          <w:i/>
        </w:rPr>
        <w:t xml:space="preserve">của luận án và Chuyên đề 2: 88.869 doanh nghiệp / 50 nền (gồm Nhật Bản; mẫu gộp phân loại 96.415 / 52 nền), được hợp nhất và hài hòa hóa theo quy trình tại Phụ lục A của luận án, mọi kết quả kinh tế lượng được dẫn chiếu theo khung này; hồi quy toàn mẫu P7 chạy với M2 N=81.022 và M5 N=79.080. Sau khi đã chạy vòng tái ước lượng 50 nền gồm Nhật Bản, mô tả và ước lượng nay dùng chung MỘT khung 50 nền. Trường hợp biên SIDS: P7 (khung mô tả 50 nền) GIỮ Timor trong Nhóm VI (8 nền); nghiên cứu chuyên sâu SIDS (P8) dùng 7 nền Pacific thật. Các dòng Nhóm VI ở Mục 2.3.3–2.3.6 tái lập từ raw bằng</w:t>
      </w:r>
      <w:r>
        <w:rPr>
          <w:iCs/>
          <w:i/>
        </w:rPr>
        <w:t xml:space="preserve"> </w:t>
      </w:r>
      <w:r>
        <w:rPr>
          <w:rStyle w:val="VerbatimChar"/>
          <w:iCs/>
          <w:i/>
        </w:rPr>
        <w:t xml:space="preserve">scripts/relock_descriptives_canonical.py</w:t>
      </w:r>
      <w:r>
        <w:rPr>
          <w:iCs/>
          <w:i/>
        </w:rPr>
        <w:t xml:space="preserve">.</w:t>
      </w:r>
    </w:p>
    <w:p>
      <w:pPr>
        <w:pStyle w:val="FirstParagraph"/>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hoạt động kinh doanh của doanh nghiệp châu Á có</w:t>
      </w:r>
      <w:r>
        <w:t xml:space="preserve"> </w:t>
      </w:r>
      <w:r>
        <w:rPr>
          <w:bCs/>
          <w:b/>
        </w:rPr>
        <w:t xml:space="preserve">phân tán lớn và không hội tụ</w:t>
      </w:r>
      <w:r>
        <w:t xml:space="preserve">. Bảy trường hợp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(đổi mới dẫn dắt so với tài nguyên dẫn dắt; innovation- vs. resource-driven) và xác nhận khuôn mẫu</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hoạt động kinh doanh của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2006–2026</w:t>
      </w:r>
      <w:r>
        <w:t xml:space="preserve">, with comparative extension to Pacific SIDS as a boundary case. The spatial scope covers</w:t>
      </w:r>
      <w:r>
        <w:t xml:space="preserve"> </w:t>
      </w:r>
      <w:r>
        <w:rPr>
          <w:bCs/>
          <w:b/>
        </w:rPr>
        <w:t xml:space="preserve">50 economies</w:t>
      </w:r>
      <w:r>
        <w:t xml:space="preserve"> </w:t>
      </w:r>
      <w:r>
        <w:t xml:space="preserve">(including Japan, surveyed by WBES for the first time in 2025), classified into six sub-regimes of ICRV (Institutional Context Regime Variation): Advanced innovation-driven, Advanced resource-driven, Upper-middle, Lower-middle transition, Emerging, and Pacific SIDS (boundary case extension). The descriptive analysis (Tables 2.3.3–2.3.8) is computed directly from World Bank Enterprise Surveys (WBES) micro-data over a descriptive pool of</w:t>
      </w:r>
      <w:r>
        <w:t xml:space="preserve"> </w:t>
      </w:r>
      <w:r>
        <w:rPr>
          <w:bCs/>
          <w:b/>
        </w:rPr>
        <w:t xml:space="preserve">88,869 firms, 103 economy-year pairs</w:t>
      </w:r>
      <w:r>
        <w:t xml:space="preserve"> </w:t>
      </w:r>
      <w:r>
        <w:t xml:space="preserve">(one standard cross-section per economy-year, waves from 2006 onward), building on and extending the 17-economy pool of emerging Asia (~40,633 firms) previously published by the author (Do &amp; Phan, 2026, VEFR). The classification is identical to the dissertation’s estimation dataset (analytic frame 88,869 firms / 50 economies, including Japan; classification pool 96,415 firms / 52 economies).</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50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khuôn mẫu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trong từng đợt khảo sát theo nhóm ICRV</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w:t>
            </w:r>
            <w:r>
              <w:t xml:space="preserve"> </w:t>
            </w:r>
            <m:oMath>
              <m:r>
                <m:t>Δ</m:t>
              </m:r>
            </m:oMath>
            <w:r>
              <w:t xml:space="preserve"> </w:t>
            </w:r>
            <w:r>
              <w:t xml:space="preserve">điểm phần trăm 2018–2026 so với 2006–2012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Dị biệt nội bộ khối châu Á mới nổi (7 nền Nhóm IV–V)</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13 nền kinh tế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trường hợp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theo 6 nhóm ICRV (mẫu gộp mô tả 50 nền)</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Khuôn mẫu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3"/>
    <w:bookmarkStart w:id="24"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2.3.1.1</w:t>
            </w:r>
          </w:p>
        </w:tc>
        <w:tc>
          <w:tcPr/>
          <w:p>
            <w:pPr>
              <w:pStyle w:val="Compact"/>
              <w:jc w:val="left"/>
            </w:pPr>
            <w:r>
              <w:t xml:space="preserve">Khung phân tích mô tả CĐ1 — tương quan giữa bốn yếu tố và năng suất lao động theo bối cảnh thể chế ICRV</w:t>
            </w:r>
          </w:p>
        </w:tc>
        <w:tc>
          <w:tcPr/>
          <w:p>
            <w:pPr>
              <w:pStyle w:val="Compact"/>
              <w:jc w:val="left"/>
            </w:pPr>
            <w:r>
              <w:t xml:space="preserve">2.3</w:t>
            </w:r>
          </w:p>
        </w:tc>
      </w:tr>
      <w:tr>
        <w:tc>
          <w:tcPr/>
          <w:p>
            <w:pPr>
              <w:pStyle w:val="Compact"/>
              <w:jc w:val="left"/>
            </w:pPr>
            <w:r>
              <w:t xml:space="preserve">Hình 2.3.3.1</w:t>
            </w:r>
          </w:p>
        </w:tc>
        <w:tc>
          <w:tcPr/>
          <w:p>
            <w:pPr>
              <w:pStyle w:val="Compact"/>
              <w:jc w:val="left"/>
            </w:pPr>
            <w:r>
              <w:t xml:space="preserve">Phân bố mẫu gộp mô tả 88.869 doanh nghiệp (2006–2026)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mẫu gộp mô tả theo 6 nhóm ICRV (n=88.869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chuẩn hóa trong đợt theo 6 nhóm ICRV (kernel density)</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2006–2012 vs 2018–2026 (</w:t>
            </w:r>
            <m:oMath>
              <m:r>
                <m:t>Δ</m:t>
              </m:r>
            </m:oMath>
            <w:r>
              <w:t xml:space="preserve"> </w:t>
            </w:r>
            <w:r>
              <w:t xml:space="preserve">điểm phần trăm theo nhóm ICRV)</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nhóm ICRV (n=88.869)</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Mông Cổ: tiến triển 2009–2019 (3 đợt khảo sát WBES)</w:t>
            </w:r>
          </w:p>
        </w:tc>
        <w:tc>
          <w:tcPr/>
          <w:p>
            <w:pPr>
              <w:pStyle w:val="Compact"/>
              <w:jc w:val="left"/>
            </w:pPr>
            <w:r>
              <w:t xml:space="preserve">2.3</w:t>
            </w:r>
          </w:p>
        </w:tc>
      </w:tr>
    </w:tbl>
    <w:p>
      <w:r>
        <w:pict>
          <v:rect style="width:0;height:1.5pt" o:hralign="center" o:hrstd="t" o:hr="t"/>
        </w:pict>
      </w:r>
    </w:p>
    <w:bookmarkEnd w:id="24"/>
    <w:bookmarkStart w:id="25"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(giữ nguyên thuật ngữ)</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(Bậc 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(Bậc 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(giữ nguyên thuật ngữ)</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5"/>
    <w:bookmarkStart w:id="31" w:name="giới-thiệu"/>
    <w:p>
      <w:pPr>
        <w:pStyle w:val="Heading2"/>
      </w:pPr>
      <w:r>
        <w:t xml:space="preserve">2.1 GIỚI THIỆU</w:t>
      </w:r>
    </w:p>
    <w:bookmarkStart w:id="26"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kinh doanh của doanh nghiệp, đơn vị tế bào của nền kinh tế, là yếu tố quyết định mức độ chuyển hoá tăng trưởng quốc gia thành thịnh vượng 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Diện mạo hiệu quả hoạt động kinh doanh của doanh nghiệp châu Á 2006–2026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(2026a) dự báo Pacific 3,4%, Đông Nam Á 4,7%, Việt Nam 7,0%. Riêng Việt Nam, ADB (2026b) ghi nhận GDP lịch sử 2025 đạt 8,0% và cập nhật dự báo 7,2% (2026) rồi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r>
        <w:t xml:space="preserve"> </w:t>
      </w:r>
      <w:r>
        <w:rPr>
          <w:bCs/>
          <w:b/>
        </w:rPr>
        <w:t xml:space="preserve">Lưu ý thời điểm</w:t>
      </w:r>
      <w:r>
        <w:t xml:space="preserve">: Lớp bối cảnh thứ sáu và thứ bảy (các sự kiện 2026) phần lớn nằm</w:t>
      </w:r>
      <w:r>
        <w:t xml:space="preserve"> </w:t>
      </w:r>
      <w:r>
        <w:rPr>
          <w:iCs/>
          <w:i/>
        </w:rPr>
        <w:t xml:space="preserve">ngoài</w:t>
      </w:r>
      <w:r>
        <w:t xml:space="preserve"> </w:t>
      </w:r>
      <w:r>
        <w:t xml:space="preserve">cửa sổ dữ liệu của chuyên đề (các đợt khảo sát WBES từ 2006 đến đầu 2026); chúng được nêu để định khung diễn giải vĩ mô và định hướng chính sách, chứ không phản ánh trong các thống kê mô tả.</w:t>
      </w:r>
    </w:p>
    <w:p>
      <w:pPr>
        <w:pStyle w:val="BodyText"/>
      </w:pPr>
      <w:r>
        <w:t xml:space="preserve">Trong bối cảnh đó, hệ thống thông tin về hiệu quả hoạt động kinh doanh của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w:t>
      </w:r>
      <w:r>
        <w:t xml:space="preserve"> </w:t>
      </w:r>
      <w:r>
        <w:rPr>
          <w:bCs/>
          <w:b/>
        </w:rPr>
        <w:t xml:space="preserve">50 nền kinh tế</w:t>
      </w:r>
      <w:r>
        <w:t xml:space="preserve"> </w:t>
      </w:r>
      <w:r>
        <w:t xml:space="preserve">trên một giai đoạn dài. Chuyên đề này lấp khoảng trống thực tiễn đó với</w:t>
      </w:r>
      <w:r>
        <w:t xml:space="preserve"> </w:t>
      </w:r>
      <w:r>
        <w:rPr>
          <w:bCs/>
          <w:b/>
        </w:rPr>
        <w:t xml:space="preserve">mẫu gộp mô tả gồm 88.869 doanh nghiệp, 103 cặp nền kinh tế × năm (2006–2026)</w:t>
      </w:r>
      <w:r>
        <w:t xml:space="preserve">, gấp hơn 2 lần phạm vi của Đỗ &amp; Phan (2026, VEFR), và khung phân loại thống nhất với bộ dữ liệu ước lượng của luận án (88.869 doanh nghiệp / 50 nền, gồm Nhật Bản; mẫu gộp phân loại 96.415 DN / 52 nền).</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trường hợp điển hình SIDS Pacific trong phần 2.3.</w:t>
      </w:r>
    </w:p>
    <w:bookmarkEnd w:id="26"/>
    <w:bookmarkStart w:id="27"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50 nền kinh tế châu Á và Thái Bình Dương</w:t>
      </w:r>
      <w:r>
        <w:t xml:space="preserve"> </w:t>
      </w:r>
      <w:r>
        <w:t xml:space="preserve">(phạm vi chính châu Á + SIDS Thái Bình Dương mở rộng trường hợp biên) trong giai đoạn</w:t>
      </w:r>
      <w:r>
        <w:t xml:space="preserve"> </w:t>
      </w:r>
      <w:r>
        <w:rPr>
          <w:bCs/>
          <w:b/>
        </w:rPr>
        <w:t xml:space="preserve">2006–2026</w:t>
      </w:r>
      <w:r>
        <w:t xml:space="preserve">, trên mẫu gộp mô tả 88.869 doanh nghiệp, 103 cặp nền kinh tế × năm, xem ghi chú dữ liệu ở Tóm tắt.</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tài liệu hiện hành;</w:t>
      </w:r>
    </w:p>
    <w:p>
      <w:pPr>
        <w:numPr>
          <w:ilvl w:val="0"/>
          <w:numId w:val="1001"/>
        </w:numPr>
        <w:pStyle w:val="Compact"/>
      </w:pPr>
      <w:r>
        <w:t xml:space="preserve">Đề xuất khung phân loại 6 nhóm ICRV cho 50 nền kinh tế;</w:t>
      </w:r>
    </w:p>
    <w:p>
      <w:pPr>
        <w:numPr>
          <w:ilvl w:val="0"/>
          <w:numId w:val="1001"/>
        </w:numPr>
        <w:pStyle w:val="Compact"/>
      </w:pPr>
      <w:r>
        <w:t xml:space="preserve">Phân tích thực trạng đa chiều hiệu quả hoạt động kinh doanh của doanh nghiệp ở 42 nền kinh tế châu Á đại lục và Đông Á (phạm vi chính) và so sánh với 7 nền SIDS (trường hợp biên);</w:t>
      </w:r>
    </w:p>
    <w:p>
      <w:pPr>
        <w:numPr>
          <w:ilvl w:val="0"/>
          <w:numId w:val="1001"/>
        </w:numPr>
        <w:pStyle w:val="Compact"/>
      </w:pPr>
      <w:r>
        <w:t xml:space="preserve">Nhận diện đặc điểm và yếu tố giải thích sơ bộ cho dị biệt hiệu quả giữa các phân nhóm;</w:t>
      </w:r>
    </w:p>
    <w:p>
      <w:pPr>
        <w:numPr>
          <w:ilvl w:val="0"/>
          <w:numId w:val="1001"/>
        </w:numPr>
        <w:pStyle w:val="Compact"/>
      </w:pPr>
      <w:r>
        <w:t xml:space="preserve">Đề xuất khoảng trống thực tiễn để định hướng nghiên cứu tiếp theo.</w:t>
      </w:r>
    </w:p>
    <w:bookmarkEnd w:id="27"/>
    <w:bookmarkStart w:id="28"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mẫu gộp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42 nền kinh tế châu Á</w:t>
      </w:r>
      <w:r>
        <w:t xml:space="preserve">:</w:t>
      </w:r>
      <w:r>
        <w:t xml:space="preserve"> </w:t>
      </w:r>
      <w:r>
        <w:t xml:space="preserve">-</w:t>
      </w:r>
      <w:r>
        <w:t xml:space="preserve"> </w:t>
      </w:r>
      <w:r>
        <w:rPr>
          <w:bCs/>
          <w:b/>
        </w:rPr>
        <w:t xml:space="preserve">(i) Advanced đổi mới sáng tạo dẫn dắt (6 nước)</w:t>
      </w:r>
      <w:r>
        <w:t xml:space="preserve">: Singapore, Hong Kong SAR, Hàn Quốc, Đài Loan, Israel, Nhật Bản.</w:t>
      </w:r>
      <w:r>
        <w:t xml:space="preserve"> </w:t>
      </w:r>
      <w:r>
        <w:t xml:space="preserve">-</w:t>
      </w:r>
      <w:r>
        <w:t xml:space="preserve"> </w:t>
      </w:r>
      <w:r>
        <w:rPr>
          <w:bCs/>
          <w:b/>
        </w:rPr>
        <w:t xml:space="preserve">(ii) Advanced tài nguyên dẫn dắt (6 nước)</w:t>
      </w:r>
      <w:r>
        <w:t xml:space="preserve">: Saudi Arabia, Qatar, Kuwait, Bahrain, Brunei, Oman.</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Chuyển đổi TB–thấp, Lower_mid_transition (7 nước)</w:t>
      </w:r>
      <w:r>
        <w:t xml:space="preserve">: Việt Nam, Ấn Độ, Indonesia, Philippines, Mông Cổ, Bangladesh, Pakistan.</w:t>
      </w:r>
      <w:r>
        <w:t xml:space="preserve"> </w:t>
      </w:r>
      <w:r>
        <w:t xml:space="preserve">-</w:t>
      </w:r>
      <w:r>
        <w:t xml:space="preserve"> </w:t>
      </w:r>
      <w:r>
        <w:rPr>
          <w:bCs/>
          <w:b/>
        </w:rPr>
        <w:t xml:space="preserve">(v) Đang nổi, Emerging (17 nước)</w:t>
      </w:r>
      <w:r>
        <w:t xml:space="preserve">: Sri Lanka, Jordan, Lào, Campuchia, Myanmar, Nepal, Bhutan, Maldives, Uzbekistan, Tajikistan, Kyrgyzstan, Turkmenistan, Afghanistan, Azerbaijan, Iraq, Lebanon, Yemen.</w:t>
      </w:r>
    </w:p>
    <w:p>
      <w:pPr>
        <w:pStyle w:val="BlockText"/>
      </w:pPr>
      <w:r>
        <w:rPr>
          <w:bCs/>
          <w:b/>
        </w:rPr>
        <w:t xml:space="preserve">Ghi chú nhất quán nhãn nhóm:</w:t>
      </w:r>
      <w:r>
        <w:t xml:space="preserve"> </w:t>
      </w:r>
      <w:r>
        <w:t xml:space="preserve">Nhãn nhóm và danh sách thành viên trong Mục 2.1.3 và Bảng 2.3.2.1 thống nhất với biến phân loại</w:t>
      </w:r>
      <w:r>
        <w:t xml:space="preserve"> </w:t>
      </w:r>
      <w:r>
        <w:rPr>
          <w:rStyle w:val="VerbatimChar"/>
        </w:rPr>
        <w:t xml:space="preserve">icrv_label</w:t>
      </w:r>
      <w:r>
        <w:t xml:space="preserve"> </w:t>
      </w:r>
      <w:r>
        <w:t xml:space="preserve">của bộ dữ liệu ước lượng (P7) và Chuyên đề 2: Nhóm IV =</w:t>
      </w:r>
      <w:r>
        <w:t xml:space="preserve"> </w:t>
      </w:r>
      <w:r>
        <w:rPr>
          <w:rStyle w:val="VerbatimChar"/>
        </w:rPr>
        <w:t xml:space="preserve">Lower_mid_transition</w:t>
      </w:r>
      <w:r>
        <w:t xml:space="preserve"> </w:t>
      </w:r>
      <w:r>
        <w:t xml:space="preserve">(7 nền đông dân), Nhóm V =</w:t>
      </w:r>
      <w:r>
        <w:t xml:space="preserve"> </w:t>
      </w:r>
      <w:r>
        <w:rPr>
          <w:rStyle w:val="VerbatimChar"/>
        </w:rPr>
        <w:t xml:space="preserve">Emerging</w:t>
      </w:r>
      <w:r>
        <w:t xml:space="preserve"> </w:t>
      </w:r>
      <w:r>
        <w:t xml:space="preserve">(17 nền), Nhóm VI =</w:t>
      </w:r>
      <w:r>
        <w:t xml:space="preserve"> </w:t>
      </w:r>
      <w:r>
        <w:rPr>
          <w:rStyle w:val="VerbatimChar"/>
        </w:rPr>
        <w:t xml:space="preserve">SIDS_small</w:t>
      </w:r>
      <w:r>
        <w:t xml:space="preserve"> </w:t>
      </w:r>
      <w:r>
        <w:t xml:space="preserve">(8 nền). Mẫu gộp mô tả phủ</w:t>
      </w:r>
      <w:r>
        <w:t xml:space="preserve"> </w:t>
      </w:r>
      <w:r>
        <w:rPr>
          <w:bCs/>
          <w:b/>
        </w:rPr>
        <w:t xml:space="preserve">đủ 50/50 nền</w:t>
      </w:r>
      <w:r>
        <w:t xml:space="preserve">: Nhóm I 6/6 (gồm Nhật Bản), II 6/6 (đủ khối GCC), III 6/6, IV 7/7, V 17/17 (gồm Lebanon, Yemen), VI 8/8 (7 Pacific + Timor-Leste).</w:t>
      </w:r>
    </w:p>
    <w:p>
      <w:pPr>
        <w:pStyle w:val="FirstParagraph"/>
      </w:pPr>
      <w:r>
        <w:rPr>
          <w:bCs/>
          <w:b/>
        </w:rPr>
        <w:t xml:space="preserve">B. Trường hợp biên mở rộng, Nhóm VI SIDS (8 nền, n=1.916 LP-valid, 2,3% mẫu gộp)</w:t>
      </w:r>
      <w:r>
        <w:t xml:space="preserve">: Fiji, Papua New Guinea, Solomon Islands, Tonga, Vanuatu, Samoa, Kiribati (2025) và Timor-Leste. Mẫu chính của nghiên cứu chuyên sâu SIDS (P8) là 7 nền Thái Bình Dương,</w:t>
      </w:r>
      <w:r>
        <w:t xml:space="preserve"> </w:t>
      </w:r>
      <w:r>
        <w:rPr>
          <w:bCs/>
          <w:b/>
        </w:rPr>
        <w:t xml:space="preserve">loại Timor-Leste</w:t>
      </w:r>
      <w:r>
        <w:t xml:space="preserve"> </w:t>
      </w:r>
      <w:r>
        <w:t xml:space="preserve">(n=1.781).</w:t>
      </w:r>
    </w:p>
    <w:p>
      <w:pPr>
        <w:pStyle w:val="BodyText"/>
      </w:pPr>
      <w:r>
        <w:rPr>
          <w:bCs/>
          <w:b/>
        </w:rPr>
        <w:t xml:space="preserve">Phạm vi thời gian</w:t>
      </w:r>
      <w:r>
        <w:t xml:space="preserve">:</w:t>
      </w:r>
      <w:r>
        <w:t xml:space="preserve"> </w:t>
      </w:r>
      <w:r>
        <w:rPr>
          <w:bCs/>
          <w:b/>
        </w:rPr>
        <w:t xml:space="preserve">2006–2026</w:t>
      </w:r>
      <w:r>
        <w:t xml:space="preserve"> </w:t>
      </w:r>
      <w:r>
        <w:t xml:space="preserve">(19 năm khảo sát, 103 cặp nền kinh tế × năm). Ba thế hệ lược đồ WBES trong mẫu gộp mô tả: PICS3/tiền-Standardized (2006–2012, 18 đợt, n=8.048), Standardized (2013–2017, 27 đợt, n=23.940), BREADY/BEE/EAP Core (2018–2026, 58 đợt, n=56.881, chiếm 64,0% mẫu gộp).</w:t>
      </w:r>
    </w:p>
    <w:bookmarkEnd w:id="28"/>
    <w:bookmarkStart w:id="29"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lát cắt ngang, không phải dữ liệu bảng cân bằng. Kết luận nhân quả dựa trên ước lượng biến công cụ từ nghiên cứu Việt Nam và không thể khái quát trực tiếp sang 50 nền kinh tế (gồm Nhật Bản) trong khung phân tích.</w:t>
      </w:r>
    </w:p>
    <w:p>
      <w:pPr>
        <w:pStyle w:val="BodyText"/>
      </w:pPr>
      <w:r>
        <w:rPr>
          <w:bCs/>
          <w:b/>
        </w:rPr>
        <w:t xml:space="preserve">(2) Chỉ số áp dụng số bị giới hạn ở Bậc 1 và Bậc 2</w:t>
      </w:r>
      <w:r>
        <w:t xml:space="preserve">: Bộ câu hỏi PICS3/Standardized chỉ có website nhị phân (Bậc 1). BREADY có Bậc 2 nhưng không đo Bậc 3/4. Chuyên đề chỉ phát biểu về phần bù Bậc 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đợt khảo sát cũ</w:t>
      </w:r>
      <w:r>
        <w:t xml:space="preserve">: Biến kinh nghiệm quản lý và giới tính lãnh đạo không có đủ trong tất cả các đợt khảo sát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Bậc 1 giống nhau nhưng cường độ số thực tế khác nhau. Hiệu ứng cố định ngành kiểm soát được một phần nhưng không giải quyết triệt để vấn đề này.</w:t>
      </w:r>
    </w:p>
    <w:bookmarkEnd w:id="29"/>
    <w:bookmarkStart w:id="30" w:name="ý-nghĩa-khoa-học-và-thực-tiễn"/>
    <w:p>
      <w:pPr>
        <w:pStyle w:val="Heading3"/>
      </w:pPr>
      <w:r>
        <w:t xml:space="preserve">2.1.5 Ý nghĩa khoa học và thực tiễn</w:t>
      </w:r>
    </w:p>
    <w:p>
      <w:pPr>
        <w:pStyle w:val="FirstParagraph"/>
      </w:pPr>
      <w:r>
        <w:rPr>
          <w:bCs/>
          <w:b/>
        </w:rPr>
        <w:t xml:space="preserve">Bốn đóng góp phạm vi chính (40 nước châu Á)</w:t>
      </w:r>
      <w:r>
        <w:t xml:space="preserve">:</w:t>
      </w:r>
    </w:p>
    <w:p>
      <w:pPr>
        <w:numPr>
          <w:ilvl w:val="0"/>
          <w:numId w:val="1002"/>
        </w:numPr>
      </w:pPr>
      <w:r>
        <w:rPr>
          <w:bCs/>
          <w:b/>
        </w:rPr>
        <w:t xml:space="preserve">Toàn cảnh thực trạng đa chiều</w:t>
      </w:r>
      <w:r>
        <w:t xml:space="preserve"> </w:t>
      </w:r>
      <w:r>
        <w:t xml:space="preserve">cho hiệu quả hoạt động kinh doanh của doanh nghiệp châu Á 2006–2026, phạm vi rộng nhất trong tài liệu kinh doanh quốc tế hiện hành (Wu et al., 2022 dừng ở 2020; Arte &amp; Larimo, 2022 dừng ở 2019).</w:t>
      </w:r>
    </w:p>
    <w:p>
      <w:pPr>
        <w:numPr>
          <w:ilvl w:val="0"/>
          <w:numId w:val="1002"/>
        </w:numPr>
      </w:pPr>
      <w:r>
        <w:rPr>
          <w:bCs/>
          <w:b/>
        </w:rPr>
        <w:t xml:space="preserve">Phân nhóm con Advanced</w:t>
      </w:r>
      <w:r>
        <w:t xml:space="preserve"> </w:t>
      </w:r>
      <w:r>
        <w:t xml:space="preserve">(đổi mới dẫn dắt so với tài nguyên dẫn dắt), phát hiện lý thuyết mới chưa có trong tài liệu hiện hành. Hai nhóm cùng mức thu nhập cao nhưng cấu trúc năng lực đối lập: R&amp;D 21,0% so với 7,0%; doanh nghiệp xuất khẩu 24,5% so với 11,7%; nữ quản lý cấp cao 20,7% so với 4,6%, phản ánh hai cơ chế tăng trưởng hoàn toàn khác nhau.</w:t>
      </w:r>
    </w:p>
    <w:p>
      <w:pPr>
        <w:numPr>
          <w:ilvl w:val="0"/>
          <w:numId w:val="1002"/>
        </w:numPr>
      </w:pPr>
      <w:r>
        <w:rPr>
          <w:bCs/>
          <w:b/>
        </w:rPr>
        <w:t xml:space="preserve">Nhảy vọt số</w:t>
      </w:r>
      <w:r>
        <w:t xml:space="preserve"> </w:t>
      </w:r>
      <w:r>
        <w:t xml:space="preserve">ở các nhóm đang nổi và chuyển đổi 2018–2026, mở rộng khuôn mẫu từ 17 nền lên 50 nền. Phân tách Bậc 1 (website nhị phân, tiệm cận bão hòa ở Advanced) và Bậc 2 (tổng hợp đa thành phần, đang phát triển ở các nhóm IV–VI).</w:t>
      </w:r>
    </w:p>
    <w:p>
      <w:pPr>
        <w:numPr>
          <w:ilvl w:val="0"/>
          <w:numId w:val="1002"/>
        </w:numPr>
      </w:pPr>
      <w:r>
        <w:rPr>
          <w:bCs/>
          <w:b/>
        </w:rPr>
        <w:t xml:space="preserve">Bằng chứng cho khung lý thuyết phi tuyến và điều tiết đa tầng</w:t>
      </w:r>
      <w:r>
        <w:t xml:space="preserve">, phổ thể chế cường độ rõ rệt của các hệ số tương quan xuyên 6 nhóm thể chế (đặc biệt: tương quan FSTS–năng suất giảm dần từ +0,141 ở Nhóm I xuống mất ý nghĩa ở SIDS)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3"/>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tài liệu kinh doanh quốc tế. Kiribati 2025 là trường hợp cực đoan nhất với FSTS 1,0%, FDI 0,7%, website 18,7%.</w:t>
      </w:r>
    </w:p>
    <w:p>
      <w:r>
        <w:pict>
          <v:rect style="width:0;height:1.5pt" o:hralign="center" o:hrstd="t" o:hr="t"/>
        </w:pict>
      </w:r>
    </w:p>
    <w:bookmarkEnd w:id="30"/>
    <w:bookmarkEnd w:id="31"/>
    <w:bookmarkStart w:id="32"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Các bảng thống kê mô tả Mục 2.3.3–2.3.8 dưới đây được tính trên</w:t>
      </w:r>
      <w:r>
        <w:t xml:space="preserve"> </w:t>
      </w:r>
      <w:r>
        <w:rPr>
          <w:bCs/>
          <w:b/>
        </w:rPr>
        <w:t xml:space="preserve">mẫu gộp mô tả gồm 88.869 doanh nghiệp, 50 nền kinh tế, 103 cặp nền kinh tế × năm (2006–2026)</w:t>
      </w:r>
      <w:r>
        <w:t xml:space="preserve">, mỗi cặp nền kinh tế × năm lấy đúng một lát cắt ngang chuẩn, chỉ nhận đợt khảo sát từ 2006 trở đi (xem ghi chú dữ liệu ở Tóm tắt và Phụ lục A). Khung phân loại thống nhất với bộ dữ liệu ước lượng của luận án: 50 nền kinh tế (88.869 doanh nghiệp, gồm Nhật Bản; mẫu gộp phân loại 96.415 DN / 52 nền).</w:t>
      </w:r>
    </w:p>
    <w:p>
      <w:pPr>
        <w:pStyle w:val="BodyText"/>
      </w:pPr>
      <w:r>
        <w:rPr>
          <w:bCs/>
          <w:b/>
        </w:rPr>
        <w:t xml:space="preserve">Các biến đo lường chính</w:t>
      </w:r>
      <w:r>
        <w:t xml:space="preserve">:</w:t>
      </w:r>
    </w:p>
    <w:p>
      <w:pPr>
        <w:numPr>
          <w:ilvl w:val="0"/>
          <w:numId w:val="1004"/>
        </w:numPr>
      </w:pPr>
      <w:r>
        <w:rPr>
          <w:bCs/>
          <w:b/>
        </w:rPr>
        <w:t xml:space="preserve">Biến năng suất lao động (LP)</w:t>
      </w:r>
      <w:r>
        <w:t xml:space="preserve">:</w:t>
      </w:r>
      <w:r>
        <w:t xml:space="preserve"> </w:t>
      </w:r>
      <w:r>
        <w:rPr>
          <w:rStyle w:val="VerbatimChar"/>
        </w:rPr>
        <w:t xml:space="preserve">LP = ln(doanh thu bán hàng hàng năm / số lao động toàn thời gian)</w:t>
      </w:r>
      <w:r>
        <w:t xml:space="preserve"> </w:t>
      </w:r>
      <w:r>
        <w:t xml:space="preserve">(d2/l1), tính theo nội tệ của từng nền kinh tế. Vì đơn vị tiền tệ khác nhau giữa các nước, chuyên đề tuân thủ một</w:t>
      </w:r>
      <w:r>
        <w:t xml:space="preserve"> </w:t>
      </w:r>
      <w:r>
        <w:rPr>
          <w:bCs/>
          <w:b/>
        </w:rPr>
        <w:t xml:space="preserve">nguyên tắc so sánh xuyên tiền tệ</w:t>
      </w:r>
      <w:r>
        <w:t xml:space="preserve"> </w:t>
      </w:r>
      <w:r>
        <w:t xml:space="preserve">xuyên suốt: (a) các thống kê</w:t>
      </w:r>
      <w:r>
        <w:t xml:space="preserve"> </w:t>
      </w:r>
      <w:r>
        <w:rPr>
          <w:iCs/>
          <w:i/>
        </w:rPr>
        <w:t xml:space="preserve">phân tán</w:t>
      </w:r>
      <w:r>
        <w:t xml:space="preserve"> </w:t>
      </w:r>
      <w:r>
        <w:t xml:space="preserve">được tính</w:t>
      </w:r>
      <w:r>
        <w:t xml:space="preserve"> </w:t>
      </w:r>
      <w:r>
        <w:rPr>
          <w:bCs/>
          <w:b/>
        </w:rPr>
        <w:t xml:space="preserve">trong từng cặp nền kinh tế × năm</w:t>
      </w:r>
      <w:r>
        <w:t xml:space="preserve"> </w:t>
      </w:r>
      <w:r>
        <w:t xml:space="preserve">(bất biến với đơn vị tiền tệ vì thừa số quy đổi triệt tiêu trong thang log); (b) so sánh</w:t>
      </w:r>
      <w:r>
        <w:t xml:space="preserve"> </w:t>
      </w:r>
      <w:r>
        <w:rPr>
          <w:iCs/>
          <w:i/>
        </w:rPr>
        <w:t xml:space="preserve">mức</w:t>
      </w:r>
      <w:r>
        <w:t xml:space="preserve"> </w:t>
      </w:r>
      <w:r>
        <w:t xml:space="preserve">giữa các nền kinh tế dùng chỉ số không thứ nguyên (ROS, tỷ suất sinh lời trên doanh thu); (c) trong khung ước lượng của luận án, LP được chuẩn hóa điểm z trong từng cặp nền kinh tế × năm và mô hình luôn có hiệu ứng cố định quốc gia (Phụ lục A của luận án). Giá trị LP được cắt đuôi (winsorize) ở mức 1/99 phân vị trong cụm quốc gia × năm để kiểm soát ngoại lai. Lựa chọn năng suất lao động làm thước đo hiệu quả phù hợp với dữ liệu WBES vốn không có giá thị trường và dữ liệu lợi nhuận thưa (Combs et al., 2005; Cusolito &amp; Maloney, 2018; Richard et al., 2009).</w:t>
      </w:r>
    </w:p>
    <w:p>
      <w:pPr>
        <w:numPr>
          <w:ilvl w:val="0"/>
          <w:numId w:val="1004"/>
        </w:numPr>
      </w:pPr>
      <w:r>
        <w:rPr>
          <w:bCs/>
          <w:b/>
        </w:rPr>
        <w:t xml:space="preserve">Biến FSTS (Foreign Sales to Total Sales)</w:t>
      </w:r>
      <w:r>
        <w:t xml:space="preserve">:</w:t>
      </w:r>
      <w:r>
        <w:t xml:space="preserve"> </w:t>
      </w:r>
      <w:r>
        <w:rPr>
          <w:rStyle w:val="VerbatimChar"/>
        </w:rPr>
        <w:t xml:space="preserve">FSTS = (d3b + d3c) / 100</w:t>
      </w:r>
      <w:r>
        <w:t xml:space="preserve">, trong đó d3b là tỷ lệ doanh thu</w:t>
      </w:r>
      <w:r>
        <w:t xml:space="preserve"> </w:t>
      </w:r>
      <w:r>
        <w:rPr>
          <w:bCs/>
          <w:b/>
        </w:rPr>
        <w:t xml:space="preserve">xuất khẩu gián tiếp</w:t>
      </w:r>
      <w:r>
        <w:t xml:space="preserve"> </w:t>
      </w:r>
      <w:r>
        <w:t xml:space="preserve">(bán qua trung gian xuất khẩu) và d3c là tỷ lệ doanh thu</w:t>
      </w:r>
      <w:r>
        <w:t xml:space="preserve"> </w:t>
      </w:r>
      <w:r>
        <w:rPr>
          <w:bCs/>
          <w:b/>
        </w:rPr>
        <w:t xml:space="preserve">xuất khẩu trực tiếp</w:t>
      </w:r>
      <w:r>
        <w:t xml:space="preserve">, theo nhãn biến chính thức của bộ công cụ WBES. Quan sát được gán FSTS = 0 nếu doanh nghiệp báo cáo toàn bộ doanh thu nội địa (d3a = 100); gán khuyết nếu không trả lời. Tổng xuất khẩu trực tiếp + gián tiếp là định nghĩa tham gia xuất khẩu chuẩn của WBES (World Bank Enterprise Surveys, 2025) và được dùng thống nhất cho thống kê mô tả của chuyên đề cũng như khung ước lượng đa quốc gia của luận án.</w:t>
      </w:r>
      <w:r>
        <w:t xml:space="preserve"> </w:t>
      </w:r>
      <w:r>
        <w:rPr>
          <w:bCs/>
          <w:b/>
        </w:rPr>
        <w:t xml:space="preserve">Ghi chú thao tác hóa</w:t>
      </w:r>
      <w:r>
        <w:t xml:space="preserve">: hai nghiên cứu thành phần đơn quốc gia (P3 Việt Nam, P5 Trung Quốc) đo cường độ quốc tế hóa bằng riêng xuất khẩu trực tiếp (d3c), vì xuất khẩu gián tiếp ủy thác chức năng quốc tế hóa cho trung gian thương mại, doanh nghiệp không trực tiếp tích lũy kinh nghiệm thị trường nước ngoài, nên cơ chế học hỏi và yêu cầu nguồn lực khác về bản chất (Hessels &amp; Terjesen, 2010; Peng &amp; Ilinitch, 1998); trong khi tỷ trọng doanh thu xuất khẩu (FSTS) là thước đo cường độ quốc tế hóa chuẩn của tài liệu quốc tế hóa và hiệu quả (Lu &amp; Beamish, 2001; Sullivan, 1994). Hai cách thao tác hóa trả lời hai câu hỏi bổ trợ, mức độ</w:t>
      </w:r>
      <w:r>
        <w:t xml:space="preserve"> </w:t>
      </w:r>
      <w:r>
        <w:rPr>
          <w:iCs/>
          <w:i/>
        </w:rPr>
        <w:t xml:space="preserve">tham gia</w:t>
      </w:r>
      <w:r>
        <w:t xml:space="preserve"> </w:t>
      </w:r>
      <w:r>
        <w:t xml:space="preserve">thị trường quốc tế (tổng) và mức độ</w:t>
      </w:r>
      <w:r>
        <w:t xml:space="preserve"> </w:t>
      </w:r>
      <w:r>
        <w:rPr>
          <w:iCs/>
          <w:i/>
        </w:rPr>
        <w:t xml:space="preserve">cam kết trực tiếp</w:t>
      </w:r>
      <w:r>
        <w:t xml:space="preserve"> </w:t>
      </w:r>
      <w:r>
        <w:t xml:space="preserve">của doanh nghiệp (trực tiếp), và được ghi rõ trong phần dữ liệu của từng nghiên cứu.</w:t>
      </w:r>
    </w:p>
    <w:p>
      <w:pPr>
        <w:numPr>
          <w:ilvl w:val="0"/>
          <w:numId w:val="1004"/>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≥3 non-missing để tính tổng hợp. Construct phản ánh chiều sâu năng lực công nghệ nội tại theo truyền thống năng lực công nghệ hóa công nghiệp và năng lực hấp thụ (Cohen &amp; Levinthal, 1990; Lall, 1992); cách tổng hợp formative tuân theo tiêu chí của Coltman et al. (2008).</w:t>
      </w:r>
      <w:r>
        <w:t xml:space="preserve"> </w:t>
      </w:r>
      <w:r>
        <w:rPr>
          <w:iCs/>
          <w:i/>
        </w:rPr>
        <w:t xml:space="preserve">Lưu ý phân biệt:</w:t>
      </w:r>
      <w:r>
        <w:t xml:space="preserve"> </w:t>
      </w:r>
      <w:r>
        <w:t xml:space="preserve">đây là biến thể TCI</w:t>
      </w:r>
      <w:r>
        <w:t xml:space="preserve"> </w:t>
      </w:r>
      <w:r>
        <w:rPr>
          <w:bCs/>
          <w:b/>
        </w:rPr>
        <w:t xml:space="preserve">đầy đủ 4 mục</w:t>
      </w:r>
      <w:r>
        <w:t xml:space="preserve"> </w:t>
      </w:r>
      <w:r>
        <w:t xml:space="preserve">trên mẫu gộp mô tả của chuyên đề, khác với biến thể</w:t>
      </w:r>
      <w:r>
        <w:t xml:space="preserve"> </w:t>
      </w:r>
      <w:r>
        <w:rPr>
          <w:bCs/>
          <w:b/>
        </w:rPr>
        <w:t xml:space="preserve">thin 2 mục (b8 + e6)</w:t>
      </w:r>
      <w:r>
        <w:t xml:space="preserve"> </w:t>
      </w:r>
      <w:r>
        <w:t xml:space="preserve">dùng trong nghiên cứu đa quốc gia P7 và Mục 3.4.5.4 của luận án; bảng tương quan Mục 2.3.8.1 còn dùng một proxy 2 mục riêng (h8 + b8) đã ghi rõ ở chú thích bảng. Các khác biệt này phản ánh độ khả dụng dữ liệu theo từng mẫu gộp, cùng đo một construct</w:t>
      </w:r>
      <w:r>
        <w:t xml:space="preserve"> </w:t>
      </w:r>
      <w:r>
        <w:rPr>
          <w:iCs/>
          <w:i/>
        </w:rPr>
        <w:t xml:space="preserve">năng lực công nghệ</w:t>
      </w:r>
      <w:r>
        <w:t xml:space="preserve">; mọi hệ số được tính từ đúng bộ mục nêu kèm.</w:t>
      </w:r>
    </w:p>
    <w:p>
      <w:pPr>
        <w:numPr>
          <w:ilvl w:val="0"/>
          <w:numId w:val="1004"/>
        </w:numPr>
      </w:pPr>
      <w:r>
        <w:rPr>
          <w:bCs/>
          <w:b/>
        </w:rPr>
        <w:t xml:space="preserve">Biến DAI (Digital Adoption Index)</w:t>
      </w:r>
      <w:r>
        <w:t xml:space="preserve">: Spec 1 (toàn bộ 2006–2026): website nhị phân (c22b/e8),</w:t>
      </w:r>
      <w:r>
        <w:t xml:space="preserve"> </w:t>
      </w:r>
      <w:r>
        <w:rPr>
          <w:bCs/>
          <w:b/>
        </w:rPr>
        <w:t xml:space="preserve">Bậc 1 Sự hiện diện số cơ bản</w:t>
      </w:r>
      <w:r>
        <w:t xml:space="preserve">. Spec 2 (BREADY 2018+ trở lên): tổng hợp chuẩn hóa z website + cường độ thanh toán điện tử (k33/k38),</w:t>
      </w:r>
      <w:r>
        <w:t xml:space="preserve"> </w:t>
      </w:r>
      <w:r>
        <w:rPr>
          <w:bCs/>
          <w:b/>
        </w:rPr>
        <w:t xml:space="preserve">Bậc 2 Chuyển đổi số cơ bản</w:t>
      </w:r>
      <w:r>
        <w:t xml:space="preserve">. Phân tầng đo lường số hóa theo Verhoef et al. (2021); vai trò công cụ số trong quốc tế hóa theo Banalieva &amp; Dhanaraj (2019).</w:t>
      </w:r>
    </w:p>
    <w:p>
      <w:pPr>
        <w:pStyle w:val="FirstParagraph"/>
      </w:pPr>
      <w:r>
        <w:rPr>
          <w:bCs/>
          <w:b/>
        </w:rPr>
        <w:t xml:space="preserve">Hài hòa hóa xuyên ba thế hệ schema</w:t>
      </w:r>
      <w:r>
        <w:t xml:space="preserve">: World Bank Enterprise Surveys trải qua ba thế hệ lược đồ trong giai đoạn nghiên cứu. Thế hệ 1, PICS3/MENA-WBES (2006–2012, 18 đợt, n=8.048): bảng hỏi PICS3 cho khu vực Đông Nam Á và Trung Á. Thế hệ 2, Standardized (2013–2017, 27 đợt, n=23.940): áp dụng đồng nhất xuyên toàn cầu từ 2013. Thế hệ 3, BREADY/BEE/EAP Core (2018–2026, 58 đợt, n=56.881): tích hợp thanh toán điện tử, điện toán đám mây, ngân hàng di động vào các phân hệ bổ sung, gây</w:t>
      </w:r>
      <w:r>
        <w:t xml:space="preserve"> </w:t>
      </w:r>
      <w:r>
        <w:rPr>
          <w:bCs/>
          <w:b/>
        </w:rPr>
        <w:t xml:space="preserve">đứt gãy schema</w:t>
      </w:r>
      <w:r>
        <w:t xml:space="preserve"> </w:t>
      </w:r>
      <w:r>
        <w:t xml:space="preserve">quan sát được: Ấn Độ FSTS sụt 7,7% rồi 2,7% trong đợt 2025.</w:t>
      </w:r>
    </w:p>
    <w:p>
      <w:pPr>
        <w:pStyle w:val="BodyText"/>
      </w:pPr>
      <w:r>
        <w:rPr>
          <w:bCs/>
          <w:b/>
        </w:rPr>
        <w:t xml:space="preserve">Nguyên tắc minh bạch dữ liệu</w:t>
      </w:r>
      <w:r>
        <w:t xml:space="preserve"> </w:t>
      </w:r>
      <w:r>
        <w:t xml:space="preserve">(Aguinis et al., 2019): chuyên đề trình bày rõ (i) định nghĩa tổng thể (50 nền kinh tế châu Á và Thái Bình Dương, phân tách 42 phạm vi chính và 8 trường hợp biên); (ii) quy trình lấy mẫu (lấy mẫu chính thức WBES); (iii) lý giải quy mô mẫu (khung phân tích 88.869 DN / 103 cặp / 50 nền gồm Nhật Bản, dùng chung cho mô tả và ước lượng P7; mẫu gộp phân loại 96.415 DN);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 toàn bộ bảng và hình tái lập được từ gói tái lập kèm theo luận án.</w:t>
      </w:r>
    </w:p>
    <w:p>
      <w:pPr>
        <w:pStyle w:val="BodyText"/>
      </w:pPr>
      <w:r>
        <w:rPr>
          <w:bCs/>
          <w:b/>
        </w:rPr>
        <w:t xml:space="preserve">Hệ thống phòng thủ ba tầng cho đứt gãy schema BREADY 2025</w:t>
      </w:r>
      <w:r>
        <w:t xml:space="preserve">: Đợt 2025 (13 nền kinh tế, n=16.880 doanh nghiệp, 19,0% mẫu gộp, gồm Nhật Bản khảo sát lần đầu) sử dụng lược đồ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lược đồ tĩnh; (3b) mô hình neo (anchor model), chạy hồi quy với dữ liệu đến 2024, khóa hệ số, kiểm định ổn định với dữ liệu đầy đủ bằng Chow test; (3c) dữ liệu bảng hậu đại dịch độc lập, tách 2025 thành tập xác thực ngoài mẫu cho kỷ nguyên hậu COVID và AI.</w:t>
      </w:r>
    </w:p>
    <w:p>
      <w:r>
        <w:pict>
          <v:rect style="width:0;height:1.5pt" o:hralign="center" o:hrstd="t" o:hr="t"/>
        </w:pict>
      </w:r>
    </w:p>
    <w:bookmarkEnd w:id="32"/>
    <w:bookmarkStart w:id="104" w:name="nội-dung-nghiên-cứu"/>
    <w:p>
      <w:pPr>
        <w:pStyle w:val="Heading2"/>
      </w:pPr>
      <w:r>
        <w:t xml:space="preserve">2.3 NỘI DUNG NGHIÊN CỨU</w:t>
      </w:r>
    </w:p>
    <w:bookmarkStart w:id="42" w:name="Xb7f628376877e6b3394a2ce7cb98209bea18ab9"/>
    <w:p>
      <w:pPr>
        <w:pStyle w:val="Heading3"/>
      </w:pPr>
      <w:r>
        <w:t xml:space="preserve">2.3.1 Cơ sở lý luận về hiệu quả hoạt động kinh doanh</w:t>
      </w:r>
    </w:p>
    <w:p>
      <w:pPr>
        <w:pStyle w:val="FirstParagraph"/>
      </w:pPr>
      <w:r>
        <w:t xml:space="preserve">Khung phân tích mô tả của Chuyên đề 1 được tóm lược ở Hình 2.3.1.1. Đây là</w:t>
      </w:r>
      <w:r>
        <w:t xml:space="preserve"> </w:t>
      </w:r>
      <w:r>
        <w:rPr>
          <w:bCs/>
          <w:b/>
        </w:rPr>
        <w:t xml:space="preserve">khung mô tả – tương quan</w:t>
      </w:r>
      <w:r>
        <w:t xml:space="preserve"> </w:t>
      </w:r>
      <w:r>
        <w:t xml:space="preserve">(không phải khung kiểm định nhân quả; phần nhân quả được dành cho Chuyên đề 2): bốn yếu tố giải thích cấp doanh nghiệp và quốc gia, gồm vốn đầu tư trực tiếp nước ngoài (FDI ≥ 10%), mức độ quốc tế hóa (FSTS), năng lực công nghệ (TCI) và mức độ hiện diện số (DAI), được đặt trong quan hệ tương quan với</w:t>
      </w:r>
      <w:r>
        <w:t xml:space="preserve"> </w:t>
      </w:r>
      <w:r>
        <w:rPr>
          <w:bCs/>
          <w:b/>
        </w:rPr>
        <w:t xml:space="preserve">năng suất lao động chuẩn hóa</w:t>
      </w:r>
      <w:r>
        <w:t xml:space="preserve"> </w:t>
      </w:r>
      <w:r>
        <w:t xml:space="preserve">(LP-z, điểm z của ln(doanh thu/lao động) trong từng cặp nền kinh tế × năm để bảo đảm bất biến tiền tệ). Điểm cốt lõi của khung là vai trò</w:t>
      </w:r>
      <w:r>
        <w:t xml:space="preserve"> </w:t>
      </w:r>
      <w:r>
        <w:rPr>
          <w:bCs/>
          <w:b/>
        </w:rPr>
        <w:t xml:space="preserve">điều tiết bối cảnh</w:t>
      </w:r>
      <w:r>
        <w:t xml:space="preserve"> </w:t>
      </w:r>
      <w:r>
        <w:t xml:space="preserve">của khung phân loại thể chế ICRV (sáu nhóm, từ Nhóm I đổi mới đến Nhóm VI SIDS): thể chế không chỉ làm thay đổi</w:t>
      </w:r>
      <w:r>
        <w:t xml:space="preserve"> </w:t>
      </w:r>
      <w:r>
        <w:rPr>
          <w:iCs/>
          <w:i/>
        </w:rPr>
        <w:t xml:space="preserve">độ lớn</w:t>
      </w:r>
      <w:r>
        <w:t xml:space="preserve"> </w:t>
      </w:r>
      <w:r>
        <w:t xml:space="preserve">mà cá biệt còn làm</w:t>
      </w:r>
      <w:r>
        <w:t xml:space="preserve"> </w:t>
      </w:r>
      <w:r>
        <w:rPr>
          <w:iCs/>
          <w:i/>
        </w:rPr>
        <w:t xml:space="preserve">triệt tiêu</w:t>
      </w:r>
      <w:r>
        <w:t xml:space="preserve"> </w:t>
      </w:r>
      <w:r>
        <w:t xml:space="preserve">các tương quan, rõ nhất ở phổ thể chế FSTS giảm đơn điệu từ +0,141 (Nhóm I) xuống mất ý nghĩa ở SIDS (+0,002 ns), nhất quán với giả thuyết chi phí buộc phải quốc tế hóa. Toàn bộ phân tích là</w:t>
      </w:r>
      <w:r>
        <w:t xml:space="preserve"> </w:t>
      </w:r>
      <w:r>
        <w:rPr>
          <w:bCs/>
          <w:b/>
        </w:rPr>
        <w:t xml:space="preserve">cắt ngang gộp nhiều đợt</w:t>
      </w:r>
      <w:r>
        <w:t xml:space="preserve"> </w:t>
      </w:r>
      <w:r>
        <w:t xml:space="preserve">trên giai đoạn 2006–2026; các hệ số tương quan Pearson chi tiết theo nhóm ICRV được trình bày ở mục 2.3.8.</w:t>
      </w:r>
    </w:p>
    <w:p>
      <w:pPr>
        <w:pStyle w:val="CaptionedFigure"/>
      </w:pPr>
      <w:r>
        <w:drawing>
          <wp:inline>
            <wp:extent cx="5753100" cy="2924179"/>
            <wp:effectExtent b="0" l="0" r="0" t="0"/>
            <wp:docPr descr="Hình 2.3.1.1. Khung phân tích mô tả CĐ1: tương quan giữa bốn yếu tố và năng suất lao động theo bối cảnh thể chế ICRV (mẫu gộp mô tả 88.869 doanh nghiệp, 50 nền, 2006–2026)." title="" id="34" name="Picture"/>
            <a:graphic>
              <a:graphicData uri="http://schemas.openxmlformats.org/drawingml/2006/picture">
                <pic:pic>
                  <pic:nvPicPr>
                    <pic:cNvPr descr="figures/cd1_fig_conceptual_model.png" id="35" name="Picture"/>
                    <pic:cNvPicPr>
                      <a:picLocks noChangeArrowheads="1" noChangeAspect="1"/>
                    </pic:cNvPicPr>
                  </pic:nvPicPr>
                  <pic:blipFill>
                    <a:blip r:embed="rId33"/>
                    <a:stretch>
                      <a:fillRect/>
                    </a:stretch>
                  </pic:blipFill>
                  <pic:spPr bwMode="auto">
                    <a:xfrm>
                      <a:off x="0" y="0"/>
                      <a:ext cx="5753100" cy="2924179"/>
                    </a:xfrm>
                    <a:prstGeom prst="rect">
                      <a:avLst/>
                    </a:prstGeom>
                    <a:noFill/>
                    <a:ln w="9525">
                      <a:noFill/>
                      <a:headEnd/>
                      <a:tailEnd/>
                    </a:ln>
                  </pic:spPr>
                </pic:pic>
              </a:graphicData>
            </a:graphic>
          </wp:inline>
        </w:drawing>
      </w:r>
    </w:p>
    <w:p>
      <w:pPr>
        <w:pStyle w:val="ImageCaption"/>
      </w:pPr>
      <w:r>
        <w:t xml:space="preserve">Hình 2.3.1.1. Khung phân tích mô tả CĐ1: tương quan giữa bốn yếu tố và năng suất lao động theo bối cảnh thể chế ICRV (mẫu gộp mô tả 88.869 doanh nghiệp, 50 nền, 2006–2026).</w:t>
      </w:r>
    </w:p>
    <w:p>
      <w:pPr>
        <w:pStyle w:val="BodyText"/>
      </w:pPr>
      <w:r>
        <w:rPr>
          <w:iCs/>
          <w:i/>
        </w:rPr>
        <w:t xml:space="preserve">Nguồn: tác giả tổng hợp từ WBES (2006–2026). Mũi tên liền = quan hệ tương quan mô tả giữa từng yếu tố và năng suất; mũi tên nét đứt = điều tiết bối cảnh của khung thể chế ICRV. Đây là khung mô tả – tương quan; suy luận nhân quả (hồi quy hai chiều cố định, kiểm định turning-point) được dành cho Chuyên đề 2.</w:t>
      </w:r>
    </w:p>
    <w:bookmarkStart w:id="36"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hoạt động kinh doanh của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Vượt ra ngoài khung hai tầng của Venkatraman và Ramanujam (1986), tài liệu phương pháp luận về đo lường hiệu quả tổ chức (Combs et al., 2005; Richard et al., 2009) cho phép tổng hợp thành</w:t>
      </w:r>
      <w:r>
        <w:t xml:space="preserve"> </w:t>
      </w:r>
      <w:r>
        <w:rPr>
          <w:bCs/>
          <w:b/>
        </w:rPr>
        <w:t xml:space="preserve">ba nhóm thước đo chính</w:t>
      </w:r>
      <w:r>
        <w:t xml:space="preserve">: (i)</w:t>
      </w:r>
      <w:r>
        <w:t xml:space="preserve"> </w:t>
      </w:r>
      <w:r>
        <w:rPr>
          <w:bCs/>
          <w:b/>
        </w:rPr>
        <w:t xml:space="preserve">thước đo dựa trên kế toán</w:t>
      </w:r>
      <w:r>
        <w:t xml:space="preserve"> </w:t>
      </w:r>
      <w:r>
        <w:t xml:space="preserve">(ROA, ROE, ROS) phản ánh hiệu quả tài chính lịch sử; (ii)</w:t>
      </w:r>
      <w:r>
        <w:t xml:space="preserve"> </w:t>
      </w:r>
      <w:r>
        <w:rPr>
          <w:bCs/>
          <w:b/>
        </w:rPr>
        <w:t xml:space="preserve">thước đo dựa trên thị trường tài chính</w:t>
      </w:r>
      <w:r>
        <w:t xml:space="preserve"> </w:t>
      </w:r>
      <w:r>
        <w:t xml:space="preserve">(Tobin’s Q, tổng lợi nhuận cổ đông) phản ánh kỳ vọng tương lai do nhà đầu tư định giá; và (iii)</w:t>
      </w:r>
      <w:r>
        <w:t xml:space="preserve"> </w:t>
      </w:r>
      <w:r>
        <w:rPr>
          <w:bCs/>
          <w:b/>
        </w:rPr>
        <w:t xml:space="preserve">thước đo dựa trên năng suất và tăng trưởng</w:t>
      </w:r>
      <w:r>
        <w:t xml:space="preserve"> </w:t>
      </w:r>
      <w:r>
        <w:t xml:space="preserve">(năng suất lao động, tăng trưởng doanh thu và việc làm) phản ánh năng lực vận hành thực chất. Richard và cộng sự (2009) cảnh báo rằng việc dựa vào một thước đo đơn lẻ làm suy giảm hiệu lực cấu trúc (construct validity) và khuyến nghị đo lường đa nguồn, đa chiều. Trong bối cảnh dữ liệu WBES, vốn không cung cấp giá cổ phiếu nên loại trừ nhóm (ii), và có dữ liệu lợi nhuận thưa thớt làm hạn chế nhóm (i),</w:t>
      </w:r>
      <w:r>
        <w:t xml:space="preserve"> </w:t>
      </w:r>
      <w:r>
        <w:rPr>
          <w:bCs/>
          <w:b/>
        </w:rPr>
        <w:t xml:space="preserve">năng suất lao động</w:t>
      </w:r>
      <w:r>
        <w:t xml:space="preserve"> </w:t>
      </w:r>
      <w:r>
        <w:t xml:space="preserve">(thuộc nhóm iii) là lựa chọn chủ đạo có cơ sở lý thuyết và kỹ thuật vững nhất giữa các phương án (ROA/ROS/Tobin’s Q): nó so sánh được xuyên quốc gia, ít bị méo mó bởi cơ cấu vốn và chế độ thuế đặc thù từng quốc gia, và phản ánh trực tiếp năng lực chuyển hóa đầu vào thành đầu ra. Để bù đắp giới hạn của một thước đo đơn lẻ theo khuyến nghị của Combs và cộng sự (2005), chuyên đề bổ sung ba chiều hiệu quả hỗ trợ (lợi nhuận, tăng trưởng, đổi mới) được trình bày ở mục 2.3.1.2.</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lược đồ;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 Số lao động toàn thời gian)</w:t>
      </w:r>
    </w:p>
    <w:p>
      <w:pPr>
        <w:pStyle w:val="BodyText"/>
      </w:pPr>
      <w:r>
        <w:t xml:space="preserve">Giá trị LP được cắt đuôi (winsorize) ở mức 1/99 phân vị trong cụm quốc gia × năm để kiểm soát ngoại lai; vì doanh thu báo cáo bằng nội tệ, tính so sánh xuyên quốc gia được bảo đảm bằng chuẩn hóa trong từng cặp nền kinh tế × năm và chỉ số không thứ nguyên, như trình bày ở mục 2.2 (World Bank Enterprise Surveys, 2025).</w:t>
      </w:r>
    </w:p>
    <w:bookmarkEnd w:id="36"/>
    <w:bookmarkStart w:id="37" w:name="bốn-chiều-đo-lường-hiệu-quả"/>
    <w:p>
      <w:pPr>
        <w:pStyle w:val="Heading4"/>
      </w:pPr>
      <w:r>
        <w:t xml:space="preserve">2.3.1.2 Bốn chiều đo lường hiệu quả</w:t>
      </w:r>
    </w:p>
    <w:p>
      <w:pPr>
        <w:pStyle w:val="FirstParagraph"/>
      </w:pPr>
      <w:r>
        <w:t xml:space="preserve">Hiệu quả hoạt động kinh doanh của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trong nội tệ / số lao động toàn thời gian), chuẩn hóa z trong từng cặp nền kinh tế × năm để bảo đảm so sánh được (xem Mục 2.3.1.1). Đây là</w:t>
      </w:r>
      <w:r>
        <w:t xml:space="preserve"> </w:t>
      </w:r>
      <w:r>
        <w:rPr>
          <w:bCs/>
          <w:b/>
        </w:rPr>
        <w:t xml:space="preserve">thước đo chính</w:t>
      </w:r>
      <w:r>
        <w:t xml:space="preserve"> </w:t>
      </w:r>
      <w:r>
        <w:t xml:space="preserve">xuyên suốt phân tích, được lựa chọn vì: (a) có thể tính cho hầu hết các nền kinh tế trong mẫu gộp; (b) không bị nhiễu bởi cơ cấu thuế và chính sách chuyển giá quốc gia; (c) có giá trị tham chiếu rõ ràng trong tài liệu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(Bậc 1 Sự hiện diện số cơ bản); (f) FDI ≥10%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7"/>
    <w:bookmarkStart w:id="38" w:name="X81322733c0aa0ef1597f9309f27c84909651b97"/>
    <w:p>
      <w:pPr>
        <w:pStyle w:val="Heading4"/>
      </w:pPr>
      <w:r>
        <w:t xml:space="preserve">2.3.1.3 Năm phân tích tổng hợp lớn về quan hệ quốc tế hóa – hiệu quả (1980–2024)</w:t>
      </w:r>
    </w:p>
    <w:p>
      <w:pPr>
        <w:pStyle w:val="FirstParagraph"/>
      </w:pPr>
      <w:r>
        <w:t xml:space="preserve">Tài liệu về quan hệ quốc tế hóa – hiệu quả là một trong những dòng nghiên cứu tích lũy nhiều nhất trong lý thuyết kinh doanh quốc tế. Năm phân tích tổng hợp lớn cung cấp nền tảng thực nghiệm:</w:t>
      </w:r>
    </w:p>
    <w:p>
      <w:pPr>
        <w:pStyle w:val="BodyText"/>
      </w:pPr>
      <w:r>
        <w:rPr>
          <w:bCs/>
          <w:b/>
        </w:rPr>
        <w:t xml:space="preserve">(1) Bausch &amp; Krist (2007)</w:t>
      </w:r>
      <w:r>
        <w:t xml:space="preserve">: Tổng hợp</w:t>
      </w:r>
      <w:r>
        <w:t xml:space="preserve"> </w:t>
      </w:r>
      <w:r>
        <w:rPr>
          <w:bCs/>
          <w:b/>
        </w:rPr>
        <w:t xml:space="preserve">36 nghiên cứu</w:t>
      </w:r>
      <w:r>
        <w:t xml:space="preserve"> </w:t>
      </w:r>
      <w:r>
        <w:t xml:space="preserve">(41 mẫu) giai đoạn 1980–2005. Hệ số tương quan trung bình dương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152 mẫu</w:t>
      </w:r>
      <w:r>
        <w:t xml:space="preserve"> </w:t>
      </w:r>
      <w:r>
        <w:t xml:space="preserve">(141 nghiên cứu) với phân tích điều tiết phân tích tổng hợp.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khuôn mẫu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phân tích tổng hợp trước. Đặt nền tảng cho khung ICRV trong chuyên đề này. Bổ sung cho hướng này, Beugelsdijk et al. (2018), qua một phân tích tổng hợp về khoảng cách văn hóa và quá trình quốc tế hóa của doanh nghiệp, cho thấy hệ quả của quốc tế hóa thay đổi một cách hệ thống theo khoảng cách văn hóa và thể chế giữa thị trường nguồn và thị trường đích, củng cố nền tảng lý thuyết cho việc phân nhóm theo phổ thể chế ICRV sáu nhóm.</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Wood và Khan (2022)</w:t>
      </w:r>
      <w:r>
        <w:t xml:space="preserve">: Cập nhật phân tích tổng hợp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phân tích tổng hợp nào trong số trên có dữ liệu WBES xuyên 50 nền kinh tế với phân loại ICRV 6 nhóm. Không có nghiên cứu nào phân biệt tường minh Bậc 1 và Bậc 2 áp dụng số như biến điều tiết riêng biệt. Khoảng trống này là nền tảng cho phần thảo luận về các khoảng trống nghiên cứu trong mục 2.3.9.</w:t>
      </w:r>
    </w:p>
    <w:bookmarkEnd w:id="38"/>
    <w:bookmarkStart w:id="39" w:name="ba-khung-lý-thuyết-nền"/>
    <w:p>
      <w:pPr>
        <w:pStyle w:val="Heading4"/>
      </w:pPr>
      <w:r>
        <w:t xml:space="preserve">2.3.1.4 Ba khung lý thuyết nền</w:t>
      </w:r>
    </w:p>
    <w:p>
      <w:pPr>
        <w:pStyle w:val="FirstParagraph"/>
      </w:pPr>
      <w:r>
        <w:t xml:space="preserve">Ba khung lý thuyết cung cấp nền tảng giải thích cho các khuôn mẫu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khuôn mẫu FSTS thấp ở SIDS Pacific (6,3%) và FSTS cao liên kết FDI ở Việt Nam (23,2%) phù hợp với đường cong học hỏi Uppsala; (b) các công cụ số theo Banalieva &amp; Dhanaraj (2019) có thể rút ngắn lộ trình tiệm tiến ở giai đoạn đầu, nhưng cần Bậc 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32,5%, R&amp;D 21,0%)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phổ thể chế cường độ của các hệ số tương quan FDI/FSTS/TCI/DAI xuyên 6 nhóm ICRV, đặc biệt việc tương quan FSTS–năng suất giảm dần và mất ý nghĩa ở SIDS (Bảng 2.3.8.1), là bằng chứng mô tả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9"/>
    <w:bookmarkStart w:id="40"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Trung bình cao,</w:t>
      </w:r>
      <w:r>
        <w:t xml:space="preserve"> </w:t>
      </w:r>
      <w:r>
        <w:rPr>
          <w:bCs/>
          <w:b/>
        </w:rPr>
        <w:t xml:space="preserve">không</w:t>
      </w:r>
      <w:r>
        <w:t xml:space="preserve"> </w:t>
      </w:r>
      <w:r>
        <w:t xml:space="preserve">thỏa mãn đầy đủ ở SIDS cô lập (Kiribati ISO 1,4%, FDI 0,7%) hay các nền đang qua xung đột thuộc Nhóm V; nhóm Chuyển đổi TB-thấp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Đạt</w:t>
            </w:r>
          </w:p>
        </w:tc>
        <w:tc>
          <w:tcPr/>
          <w:p>
            <w:pPr>
              <w:pStyle w:val="Compact"/>
              <w:jc w:val="center"/>
            </w:pPr>
            <w:r>
              <w:t xml:space="preserve">Có</w:t>
            </w:r>
          </w:p>
        </w:tc>
        <w:tc>
          <w:tcPr/>
          <w:p>
            <w:pPr>
              <w:pStyle w:val="Compact"/>
              <w:jc w:val="center"/>
            </w:pPr>
            <w:r>
              <w:t xml:space="preserve">Đạt</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Đạt</w:t>
            </w:r>
          </w:p>
        </w:tc>
        <w:tc>
          <w:tcPr/>
          <w:p>
            <w:pPr>
              <w:pStyle w:val="Compact"/>
              <w:jc w:val="center"/>
            </w:pPr>
            <w:r>
              <w:t xml:space="preserve">Có</w:t>
            </w:r>
          </w:p>
        </w:tc>
        <w:tc>
          <w:tcPr/>
          <w:p>
            <w:pPr>
              <w:pStyle w:val="Compact"/>
              <w:jc w:val="center"/>
            </w:pPr>
            <w:r>
              <w:t xml:space="preserve">Một phần (chênh lệch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 đến Không</w:t>
            </w:r>
          </w:p>
        </w:tc>
        <w:tc>
          <w:tcPr/>
          <w:p>
            <w:pPr>
              <w:pStyle w:val="Compact"/>
              <w:jc w:val="left"/>
            </w:pPr>
            <w:r>
              <w:t xml:space="preserve">U-curve không vận hành: quốc tế hóa là buộc phải; Fiji website 74,8% &gt; Singapore 66% là minh chứng</w:t>
            </w:r>
          </w:p>
        </w:tc>
      </w:tr>
    </w:tbl>
    <w:bookmarkEnd w:id="40"/>
    <w:bookmarkStart w:id="41" w:name="X4ca83cf2abcff6a48f6b1f7c0413cca47df7dba"/>
    <w:p>
      <w:pPr>
        <w:pStyle w:val="Heading4"/>
      </w:pPr>
      <w:r>
        <w:t xml:space="preserve">2.3.1.6 Khung 4 Bậc chuyển đổi số và Mô hình CDCM</w:t>
      </w:r>
    </w:p>
    <w:p>
      <w:pPr>
        <w:pStyle w:val="FirstParagraph"/>
      </w:pPr>
      <w:r>
        <w:rPr>
          <w:bCs/>
          <w:b/>
        </w:rPr>
        <w:t xml:space="preserve">Bốn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Bậc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mẫu gộp 2006–2026)</w:t>
            </w:r>
          </w:p>
        </w:tc>
      </w:tr>
      <w:tr>
        <w:tc>
          <w:tcPr/>
          <w:p>
            <w:pPr>
              <w:pStyle w:val="Compact"/>
              <w:jc w:val="left"/>
            </w:pPr>
            <w:r>
              <w:rPr>
                <w:bCs/>
                <w:b/>
              </w:rPr>
              <w:t xml:space="preserve">Bậc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Bậc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Bậc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Dữ liệu WBES của chuyên đề (khung phân tích 88.869 DN / 50 nền, gồm Nhật Bản, dùng chung cho mô tả và ước lượng P7) quan sát Bậc 1–2, không Bậc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sang U ngược, điểm uốn ≈ 39–46% FSTS; Singapore sang tuyến tính dương + bậc hai nhẹ, điểm uốn ≈ 88,6% FSTS (điểm uốn này nằm sát/ngoài miền dữ liệu với khoảng tin cậy bootstrap rất rộng, nên được diễn giải là quan hệ</w:t>
      </w:r>
      <w:r>
        <w:t xml:space="preserve"> </w:t>
      </w:r>
      <w:r>
        <w:rPr>
          <w:iCs/>
          <w:i/>
        </w:rPr>
        <w:t xml:space="preserve">tăng gần đơn điệu</w:t>
      </w:r>
      <w:r>
        <w:t xml:space="preserve"> </w:t>
      </w:r>
      <w:r>
        <w:t xml:space="preserve">trong miền quan sát chứ không phải một ngưỡng bất lợi đã định vị chắc chắn, nhất quán với diễn giải tại luận án Chương 4 Mục 4.3.1).</w:t>
      </w:r>
    </w:p>
    <w:p>
      <w:pPr>
        <w:pStyle w:val="BodyText"/>
      </w:pPr>
      <w:r>
        <w:rPr>
          <w:bCs/>
          <w:b/>
        </w:rPr>
        <w:t xml:space="preserve">(b) Cơ chế DAI</w:t>
      </w:r>
      <w:r>
        <w:t xml:space="preserve">: Việt Nam (Bậc 1 = website only) sang</w:t>
      </w:r>
      <w:r>
        <w:t xml:space="preserve"> </w:t>
      </w:r>
      <w:r>
        <w:rPr>
          <w:bCs/>
          <w:b/>
        </w:rPr>
        <w:t xml:space="preserve">phụ thuộc giai đoạn</w:t>
      </w:r>
      <w:r>
        <w:t xml:space="preserve">: tương tác</w:t>
      </w:r>
      <w:r>
        <w:t xml:space="preserve"> </w:t>
      </w:r>
      <m:oMath>
        <m:r>
          <m:rPr>
            <m:sty m:val="p"/>
          </m:rPr>
          <m:t>D</m:t>
        </m:r>
        <m:r>
          <m:rPr>
            <m:sty m:val="p"/>
          </m:rPr>
          <m:t>A</m:t>
        </m:r>
        <m:r>
          <m:rPr>
            <m:sty m:val="p"/>
          </m:rPr>
          <m:t>I</m:t>
        </m:r>
        <m:r>
          <m:rPr>
            <m:sty m:val="p"/>
          </m:rPr>
          <m:t>×</m:t>
        </m:r>
        <m:r>
          <m:rPr>
            <m:sty m:val="p"/>
          </m:rPr>
          <m:t>F</m:t>
        </m:r>
        <m:r>
          <m:rPr>
            <m:sty m:val="p"/>
          </m:rPr>
          <m:t>S</m:t>
        </m:r>
        <m:r>
          <m:rPr>
            <m:sty m:val="p"/>
          </m:rPr>
          <m:t>T</m:t>
        </m:r>
        <m:r>
          <m:rPr>
            <m:sty m:val="p"/>
          </m:rPr>
          <m:t>S</m:t>
        </m:r>
      </m:oMath>
      <w:r>
        <w:t xml:space="preserve"> </w:t>
      </w:r>
      <w:r>
        <w:t xml:space="preserve">âm ở FSTS cao, Bậc 1 trở thành điểm nghẽn. Singapore (Bậc 1+2) sang</w:t>
      </w:r>
      <w:r>
        <w:t xml:space="preserve"> </w:t>
      </w:r>
      <w:r>
        <w:rPr>
          <w:bCs/>
          <w:b/>
        </w:rPr>
        <w:t xml:space="preserve">mở rộng có điều kiện</w:t>
      </w:r>
      <w:r>
        <w:t xml:space="preserve">: tương tác</w:t>
      </w:r>
      <w:r>
        <w:t xml:space="preserve"> </w:t>
      </w:r>
      <m:oMath>
        <m:r>
          <m:rPr>
            <m:sty m:val="p"/>
          </m:rPr>
          <m:t>D</m:t>
        </m:r>
        <m:r>
          <m:rPr>
            <m:sty m:val="p"/>
          </m:rPr>
          <m:t>A</m:t>
        </m:r>
        <m:r>
          <m:rPr>
            <m:sty m:val="p"/>
          </m:rPr>
          <m:t>I</m:t>
        </m:r>
        <m:r>
          <m:rPr>
            <m:sty m:val="p"/>
          </m:rPr>
          <m:t>×</m:t>
        </m:r>
        <m:sSup>
          <m:e>
            <m:r>
              <m:rPr>
                <m:sty m:val="p"/>
              </m:rPr>
              <m:t>F</m:t>
            </m:r>
            <m:r>
              <m:rPr>
                <m:sty m:val="p"/>
              </m:rPr>
              <m:t>S</m:t>
            </m:r>
            <m:r>
              <m:rPr>
                <m:sty m:val="p"/>
              </m:rPr>
              <m:t>T</m:t>
            </m:r>
            <m:r>
              <m:rPr>
                <m:sty m:val="p"/>
              </m:rPr>
              <m:t>S</m:t>
            </m:r>
          </m:e>
          <m:sup>
            <m:r>
              <m:t>2</m:t>
            </m:r>
          </m:sup>
        </m:sSup>
      </m:oMath>
      <w:r>
        <w:t xml:space="preserve"> </w:t>
      </w:r>
      <w:r>
        <w:t xml:space="preserve">dương mạnh (</w:t>
      </w:r>
      <m:oMath>
        <m:r>
          <m:t>β</m:t>
        </m:r>
        <m:r>
          <m:rPr>
            <m:sty m:val="p"/>
          </m:rPr>
          <m:t>=</m:t>
        </m:r>
        <m:r>
          <m:t>3</m:t>
        </m:r>
        <m:r>
          <m:rPr>
            <m:sty m:val="p"/>
          </m:rPr>
          <m:t>,</m:t>
        </m:r>
        <m:r>
          <m:t>119</m:t>
        </m:r>
      </m:oMath>
      <w:r>
        <w:t xml:space="preserve">,</w:t>
      </w:r>
      <w:r>
        <w:t xml:space="preserve"> </w:t>
      </w:r>
      <m:oMath>
        <m:r>
          <m:t>p</m:t>
        </m:r>
        <m:r>
          <m:rPr>
            <m:sty m:val="p"/>
          </m:rPr>
          <m:t>=</m:t>
        </m:r>
        <m:r>
          <m:t>0</m:t>
        </m:r>
        <m:r>
          <m:rPr>
            <m:sty m:val="p"/>
          </m:rPr>
          <m:t>,</m:t>
        </m:r>
        <m:r>
          <m:t>005</m:t>
        </m:r>
      </m:oMath>
      <w:r>
        <w:t xml:space="preserve">), Bậc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w:t>
      </w:r>
      <w:r>
        <w:t xml:space="preserve"> </w:t>
      </w:r>
      <m:oMath>
        <m:r>
          <m:t>β</m:t>
        </m:r>
        <m:r>
          <m:rPr>
            <m:sty m:val="p"/>
          </m:rPr>
          <m:t>=</m:t>
        </m:r>
        <m:r>
          <m:t>1</m:t>
        </m:r>
        <m:r>
          <m:rPr>
            <m:sty m:val="p"/>
          </m:rPr>
          <m:t>,</m:t>
        </m:r>
        <m:r>
          <m:t>639</m:t>
        </m:r>
      </m:oMath>
      <w:r>
        <w:t xml:space="preserve">,</w:t>
      </w:r>
      <w:r>
        <w:t xml:space="preserve"> </w:t>
      </w:r>
      <m:oMath>
        <m:r>
          <m:t>p</m:t>
        </m:r>
        <m:r>
          <m:rPr>
            <m:sty m:val="p"/>
          </m:rPr>
          <m:t>&lt;</m:t>
        </m:r>
        <m:r>
          <m:t>0</m:t>
        </m:r>
        <m:r>
          <m:rPr>
            <m:sty m:val="p"/>
          </m:rPr>
          <m:t>,</m:t>
        </m:r>
        <m:r>
          <m:t>001</m:t>
        </m:r>
      </m:oMath>
      <w:r>
        <w:t xml:space="preserve">,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p>
      <w:r>
        <w:pict>
          <v:rect style="width:0;height:1.5pt" o:hralign="center" o:hrstd="t" o:hr="t"/>
        </w:pict>
      </w:r>
    </w:p>
    <w:bookmarkEnd w:id="41"/>
    <w:bookmarkEnd w:id="42"/>
    <w:bookmarkStart w:id="47" w:name="khung-phân-loại-thể-chế-icrv"/>
    <w:p>
      <w:pPr>
        <w:pStyle w:val="Heading3"/>
      </w:pPr>
      <w:r>
        <w:t xml:space="preserve">2.3.2 Khung phân loại thể chế ICRV</w:t>
      </w:r>
    </w:p>
    <w:bookmarkStart w:id="43" w:name="lý-do-phân-loại"/>
    <w:p>
      <w:pPr>
        <w:pStyle w:val="Heading4"/>
      </w:pPr>
      <w:r>
        <w:t xml:space="preserve">2.3.2.1 Lý do phân loại</w:t>
      </w:r>
    </w:p>
    <w:p>
      <w:pPr>
        <w:pStyle w:val="FirstParagraph"/>
      </w:pPr>
      <w:r>
        <w:t xml:space="preserve">Châu Á không phải là một khối đồng nhất về thể chế. Các phân tích tổng hợp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50 nền kinh tế châu Á (khung mô tả). Khung phân loại ICRV (Institutional Context Regime Variation, Biến thiên chế độ bối cảnh thể chế) được đề xuất trong chuyên đề này nhằm lấp khoảng trống đó, dựa trên bốn nguyên tắc:</w:t>
      </w:r>
    </w:p>
    <w:p>
      <w:pPr>
        <w:numPr>
          <w:ilvl w:val="0"/>
          <w:numId w:val="1005"/>
        </w:numPr>
      </w:pPr>
      <w:r>
        <w:rPr>
          <w:bCs/>
          <w:b/>
        </w:rPr>
        <w:t xml:space="preserve">Tính phân biệt</w:t>
      </w:r>
      <w:r>
        <w:t xml:space="preserve">: mỗi nhóm phải có mô hình hiệu quả hoạt động kinh doanh của doanh nghiệp khác biệt thực sự, không chỉ khác nhau về mức GDP bình quân đầu người;</w:t>
      </w:r>
    </w:p>
    <w:p>
      <w:pPr>
        <w:numPr>
          <w:ilvl w:val="0"/>
          <w:numId w:val="1005"/>
        </w:numPr>
      </w:pP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p>
      <w:pPr>
        <w:numPr>
          <w:ilvl w:val="0"/>
          <w:numId w:val="1005"/>
        </w:numPr>
      </w:pPr>
      <w:r>
        <w:rPr>
          <w:bCs/>
          <w:b/>
        </w:rPr>
        <w:t xml:space="preserve">Tính khả dụng dữ liệu</w:t>
      </w:r>
      <w:r>
        <w:t xml:space="preserve">: mỗi nhóm phải có đủ quan sát WBES để phân tích có ý nghĩa thống kê (tối thiểu 500 doanh nghiệp);</w:t>
      </w:r>
    </w:p>
    <w:p>
      <w:pPr>
        <w:numPr>
          <w:ilvl w:val="0"/>
          <w:numId w:val="1005"/>
        </w:numPr>
      </w:pPr>
      <w:r>
        <w:rPr>
          <w:bCs/>
          <w:b/>
        </w:rPr>
        <w:t xml:space="preserve">Tính minh bạch và tái tạo</w:t>
      </w:r>
      <w:r>
        <w:t xml:space="preserve">: tiêu chí phân loại phải rõ ràng và có thể áp dụng nhất quán.</w:t>
      </w:r>
    </w:p>
    <w:bookmarkEnd w:id="43"/>
    <w:bookmarkStart w:id="44" w:name="tiêu-chí-phân-loại-sáu-nhóm"/>
    <w:p>
      <w:pPr>
        <w:pStyle w:val="Heading4"/>
      </w:pPr>
      <w:r>
        <w:t xml:space="preserve">2.3.2.2 Tiêu chí phân loại sáu nhóm</w:t>
      </w:r>
    </w:p>
    <w:p>
      <w:pPr>
        <w:pStyle w:val="FirstParagraph"/>
      </w:pPr>
      <w:r>
        <w:rPr>
          <w:bCs/>
          <w:b/>
        </w:rPr>
        <w:t xml:space="preserve">Nhóm I, Advanced đổi mới sáng tạo dẫn dắt</w:t>
      </w:r>
      <w:r>
        <w:t xml:space="preserve">: WGI Rule of Law &gt;+0,80; GNI bình quân đầu người &gt;30.000 USD (phương pháp Atlas, theo ngưỡng phân loại thu nhập FY2026 của World Bank, 2025b); GDP tăng trưởng dựa trên đổi mới công nghệ, dịch vụ tài chính và hàm lượng tri thức cao. Bằng chứng WBES: R&amp;D &gt;10%, ISO &gt;20%, độ lệch chuẩn log năng suất trong đợt thấp nhất sáu nhóm (~1,00, phân tán hẹp, ít phân bổ sai).</w:t>
      </w:r>
    </w:p>
    <w:p>
      <w:pPr>
        <w:pStyle w:val="BodyText"/>
      </w:pPr>
      <w:r>
        <w:rPr>
          <w:bCs/>
          <w:b/>
        </w:rPr>
        <w:t xml:space="preserve">Nhóm II, Advanced tài nguyên dẫn dắt</w:t>
      </w:r>
      <w:r>
        <w:t xml:space="preserve">: WGI Rule of Law trung bình (+0,00 sang +0,50); GNI bình quân đầu người &gt;20.000 USD; GDP tăng trưởng dựa trên xuất khẩu tài nguyên thiên nhiên (dầu mỏ, khí đốt, khoáng sản). Bằng chứng WBES: FDI cao hướng khai thác tài nguyên; phân tán năng suất trong đợt thấp ở các nền lớn nhất khối (Saudi Arabia 0,49; Qatar 0,33, đặc trưng nhà nước tô san bằng phân phối).</w:t>
      </w:r>
    </w:p>
    <w:p>
      <w:pPr>
        <w:pStyle w:val="BodyText"/>
      </w:pPr>
      <w:r>
        <w:rPr>
          <w:bCs/>
          <w:b/>
        </w:rPr>
        <w:t xml:space="preserve">Nhóm III, Trung bình cao (Upper-middle)</w:t>
      </w:r>
      <w:r>
        <w:t xml:space="preserve">: WGI Rule of Law 0,00 sang +0,80; GNI bình quân đầu người 5.000–20.000 USD; nền kinh tế chuyển đổi từ sản xuất sang dịch vụ, với R&amp;D đang tăng (đặc biệt Trung Quốc). Khuôn mẫu WBES: FSTS sản xuất cao, doanh nghiệp xuất khẩu tăng mạnh giữa hai kỳ khảo sát (+12,5 điểm phần trăm).</w:t>
      </w:r>
    </w:p>
    <w:p>
      <w:pPr>
        <w:pStyle w:val="BodyText"/>
      </w:pPr>
      <w:r>
        <w:rPr>
          <w:bCs/>
          <w:b/>
        </w:rPr>
        <w:t xml:space="preserve">Nhóm IV, Chuyển đổi thu nhập trung bình–thấp (Lower-middle transition)</w:t>
      </w:r>
      <w:r>
        <w:t xml:space="preserve">: WGI Rule of Law -0,50 xuống 0,00; GNI bình quân đầu người 1.000–5.000 USD; tốc độ tăng trưởng cao nhưng gap de jure–de facto lớn (Xu, 2024); sản xuất FDI-driven dẫn dắt xuất khẩu ở khối ASEAN. Khuôn mẫu WBES: FSTS phân cực cao/thấp trong nội bộ nhóm; FDI thấp nhất (3,1%) do doanh nghiệp nội địa chi phối mẫu.</w:t>
      </w:r>
    </w:p>
    <w:p>
      <w:pPr>
        <w:pStyle w:val="BodyText"/>
      </w:pPr>
      <w:r>
        <w:rPr>
          <w:bCs/>
          <w:b/>
        </w:rPr>
        <w:t xml:space="preserve">Nhóm V, Đang nổi (Emerging)</w:t>
      </w:r>
      <w:r>
        <w:t xml:space="preserve">: WGI Rule of Law &lt; -0,50 hoặc khoảng trống thể chế lớn; GNI bình quân đầu người phần lớn &lt;3.000 USD; gồm nhiều nền đang qua giai đoạn xung đột hoặc chuyển đổi sau xung đột. Khuôn mẫu WBES: phân tán năng suất trong đợt cao nhất (sd ~1,39; P90/P10 ~30 lần), nhưng đổi mới sản phẩm khá cao (đổi mới bằng nguồn lực hạn chế).</w:t>
      </w:r>
    </w:p>
    <w:p>
      <w:pPr>
        <w:pStyle w:val="BodyTex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Khuôn mẫu WBES: n=1.916 (2,3% mẫu gộp, LP-valid, gồm Timor-Leste); FDI cao nhất (20,0%, do MNE du lịch/viễn thông); đổi mới sản phẩm cao nhất (34,2%, đổi mới bằng nguồn lực hạn chế); website khá cao ngoại trừ Kiribati (18,7%).</w:t>
      </w:r>
    </w:p>
    <w:bookmarkEnd w:id="44"/>
    <w:bookmarkStart w:id="45" w:name="X5d46d810939c8959044628fee7d4fea6d3e8d1b"/>
    <w:p>
      <w:pPr>
        <w:pStyle w:val="Heading4"/>
      </w:pPr>
      <w:r>
        <w:t xml:space="preserve">2.3.2.3 Danh sách 50 nền kinh tế theo nhóm ICRV (căn theo nhãn dữ liệu)</w:t>
      </w:r>
    </w:p>
    <w:p>
      <w:pPr>
        <w:pStyle w:val="FirstParagraph"/>
      </w:pPr>
      <w:r>
        <w:rPr>
          <w:bCs/>
          <w:b/>
        </w:rPr>
        <w:t xml:space="preserve">Bảng 2.3.2.1</w:t>
      </w:r>
      <w:r>
        <w:t xml:space="preserve">.</w:t>
      </w:r>
      <w:r>
        <w:t xml:space="preserve"> </w:t>
      </w:r>
      <w:r>
        <w:rPr>
          <w:iCs/>
          <w:i/>
        </w:rPr>
        <w:t xml:space="preserve">Phân loại 50 nền kinh tế vào 6 nhóm ICRV theo nhãn dữ liệu</w:t>
      </w:r>
      <w:r>
        <w:rPr>
          <w:iCs/>
          <w:i/>
        </w:rPr>
        <w:t xml:space="preserve"> </w:t>
      </w:r>
      <w:r>
        <w:rPr>
          <w:rStyle w:val="VerbatimChar"/>
          <w:iCs/>
          <w:i/>
        </w:rPr>
        <w:t xml:space="preserve">icrv_label</w:t>
      </w:r>
      <w:r>
        <w:rPr>
          <w:iCs/>
          <w:i/>
        </w:rPr>
        <w:t xml:space="preserve">, dùng thống nhất với Chuyên đề 2 (Bảng 2.8).</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Nhóm ICRV (icrv_label)</w:t>
            </w:r>
          </w:p>
        </w:tc>
        <w:tc>
          <w:tcPr/>
          <w:p>
            <w:pPr>
              <w:pStyle w:val="Compact"/>
              <w:jc w:val="left"/>
            </w:pPr>
            <w:r>
              <w:t xml:space="preserve">Tên nhóm</w:t>
            </w:r>
          </w:p>
        </w:tc>
        <w:tc>
          <w:tcPr/>
          <w:p>
            <w:pPr>
              <w:pStyle w:val="Compact"/>
              <w:jc w:val="left"/>
            </w:pPr>
            <w:r>
              <w:t xml:space="preserve">Quốc gia</w:t>
            </w:r>
          </w:p>
        </w:tc>
        <w:tc>
          <w:tcPr/>
          <w:p>
            <w:pPr>
              <w:pStyle w:val="Compact"/>
              <w:jc w:val="center"/>
            </w:pPr>
            <w:r>
              <w:t xml:space="preserve">N doanh nghiệp</w:t>
            </w:r>
          </w:p>
        </w:tc>
      </w:tr>
      <w:tr>
        <w:tc>
          <w:tcPr/>
          <w:p>
            <w:pPr>
              <w:pStyle w:val="Compact"/>
              <w:jc w:val="left"/>
            </w:pPr>
            <w:r>
              <w:rPr>
                <w:bCs/>
                <w:b/>
              </w:rPr>
              <w:t xml:space="preserve">I</w:t>
            </w:r>
            <w:r>
              <w:t xml:space="preserve"> </w:t>
            </w:r>
            <w:r>
              <w:t xml:space="preserve">(</w:t>
            </w:r>
            <w:r>
              <w:rPr>
                <w:rStyle w:val="VerbatimChar"/>
              </w:rPr>
              <w:t xml:space="preserve">Advanced_innovation</w:t>
            </w:r>
            <w:r>
              <w:t xml:space="preserve">)</w:t>
            </w:r>
          </w:p>
        </w:tc>
        <w:tc>
          <w:tcPr/>
          <w:p>
            <w:pPr>
              <w:pStyle w:val="Compact"/>
              <w:jc w:val="left"/>
            </w:pPr>
            <w:r>
              <w:t xml:space="preserve">Advanced, đổi mới sáng tạo</w:t>
            </w:r>
          </w:p>
        </w:tc>
        <w:tc>
          <w:tcPr/>
          <w:p>
            <w:pPr>
              <w:pStyle w:val="Compact"/>
              <w:jc w:val="left"/>
            </w:pPr>
            <w:r>
              <w:t xml:space="preserve">Singapore, Hong Kong SAR, Hàn Quốc, Đài Loan, Israel,</w:t>
            </w:r>
            <w:r>
              <w:t xml:space="preserve"> </w:t>
            </w:r>
            <w:r>
              <w:rPr>
                <w:bCs/>
                <w:b/>
              </w:rPr>
              <w:t xml:space="preserve">Nhật Bản</w:t>
            </w:r>
          </w:p>
        </w:tc>
        <w:tc>
          <w:tcPr/>
          <w:p>
            <w:pPr>
              <w:pStyle w:val="Compact"/>
              <w:jc w:val="center"/>
            </w:pPr>
            <w:r>
              <w:t xml:space="preserve">5.688</w:t>
            </w:r>
          </w:p>
        </w:tc>
      </w:tr>
      <w:tr>
        <w:tc>
          <w:tcPr/>
          <w:p>
            <w:pPr>
              <w:pStyle w:val="Compact"/>
              <w:jc w:val="left"/>
            </w:pPr>
            <w:r>
              <w:rPr>
                <w:bCs/>
                <w:b/>
              </w:rPr>
              <w:t xml:space="preserve">II</w:t>
            </w:r>
            <w:r>
              <w:t xml:space="preserve"> </w:t>
            </w:r>
            <w:r>
              <w:t xml:space="preserve">(</w:t>
            </w:r>
            <w:r>
              <w:rPr>
                <w:rStyle w:val="VerbatimChar"/>
              </w:rPr>
              <w:t xml:space="preserve">Advanced_resource</w:t>
            </w:r>
            <w:r>
              <w:t xml:space="preserve">)</w:t>
            </w:r>
          </w:p>
        </w:tc>
        <w:tc>
          <w:tcPr/>
          <w:p>
            <w:pPr>
              <w:pStyle w:val="Compact"/>
              <w:jc w:val="left"/>
            </w:pPr>
            <w:r>
              <w:t xml:space="preserve">Advanced, tài nguyên</w:t>
            </w:r>
          </w:p>
        </w:tc>
        <w:tc>
          <w:tcPr/>
          <w:p>
            <w:pPr>
              <w:pStyle w:val="Compact"/>
              <w:jc w:val="left"/>
            </w:pPr>
            <w:r>
              <w:t xml:space="preserve">Saudi Arabia, Qatar, Kuwait, Bahrain, Brunei, Oman</w:t>
            </w:r>
          </w:p>
        </w:tc>
        <w:tc>
          <w:tcPr/>
          <w:p>
            <w:pPr>
              <w:pStyle w:val="Compact"/>
              <w:jc w:val="center"/>
            </w:pPr>
            <w:r>
              <w:t xml:space="preserve">2.082</w:t>
            </w:r>
          </w:p>
        </w:tc>
      </w:tr>
      <w:tr>
        <w:tc>
          <w:tcPr/>
          <w:p>
            <w:pPr>
              <w:pStyle w:val="Compact"/>
              <w:jc w:val="left"/>
            </w:pPr>
            <w:r>
              <w:rPr>
                <w:bCs/>
                <w:b/>
              </w:rPr>
              <w:t xml:space="preserve">III</w:t>
            </w:r>
            <w:r>
              <w:t xml:space="preserve"> </w:t>
            </w:r>
            <w:r>
              <w:t xml:space="preserve">(</w:t>
            </w:r>
            <w:r>
              <w:rPr>
                <w:rStyle w:val="VerbatimChar"/>
              </w:rPr>
              <w:t xml:space="preserve">Upper_mid</w:t>
            </w:r>
            <w:r>
              <w:t xml:space="preserve">)</w:t>
            </w:r>
          </w:p>
        </w:tc>
        <w:tc>
          <w:tcPr/>
          <w:p>
            <w:pPr>
              <w:pStyle w:val="Compact"/>
              <w:jc w:val="left"/>
            </w:pPr>
            <w:r>
              <w:t xml:space="preserve">Trung bình cao</w:t>
            </w:r>
          </w:p>
        </w:tc>
        <w:tc>
          <w:tcPr/>
          <w:p>
            <w:pPr>
              <w:pStyle w:val="Compact"/>
              <w:jc w:val="left"/>
            </w:pPr>
            <w:r>
              <w:t xml:space="preserve">Trung Quốc, Malaysia, Thái Lan, Kazakhstan, Armenia, Georgia</w:t>
            </w:r>
          </w:p>
        </w:tc>
        <w:tc>
          <w:tcPr/>
          <w:p>
            <w:pPr>
              <w:pStyle w:val="Compact"/>
              <w:jc w:val="center"/>
            </w:pPr>
            <w:r>
              <w:t xml:space="preserve">15.174</w:t>
            </w:r>
          </w:p>
        </w:tc>
      </w:tr>
      <w:tr>
        <w:tc>
          <w:tcPr/>
          <w:p>
            <w:pPr>
              <w:pStyle w:val="Compact"/>
              <w:jc w:val="left"/>
            </w:pPr>
            <w:r>
              <w:rPr>
                <w:bCs/>
                <w:b/>
              </w:rPr>
              <w:t xml:space="preserve">IV</w:t>
            </w:r>
            <w:r>
              <w:t xml:space="preserve"> </w:t>
            </w:r>
            <w:r>
              <w:t xml:space="preserve">(</w:t>
            </w:r>
            <w:r>
              <w:rPr>
                <w:rStyle w:val="VerbatimChar"/>
              </w:rPr>
              <w:t xml:space="preserve">Lower_mid_transition</w:t>
            </w:r>
            <w:r>
              <w:t xml:space="preserve">)</w:t>
            </w:r>
          </w:p>
        </w:tc>
        <w:tc>
          <w:tcPr/>
          <w:p>
            <w:pPr>
              <w:pStyle w:val="Compact"/>
              <w:jc w:val="left"/>
            </w:pPr>
            <w:r>
              <w:t xml:space="preserve">Chuyển đổi thu nhập trung bình–thấp</w:t>
            </w:r>
          </w:p>
        </w:tc>
        <w:tc>
          <w:tcPr/>
          <w:p>
            <w:pPr>
              <w:pStyle w:val="Compact"/>
              <w:jc w:val="left"/>
            </w:pPr>
            <w:r>
              <w:t xml:space="preserve">Việt Nam, Ấn Độ, Indonesia, Philippines, Mông Cổ, Bangladesh, Pakistan</w:t>
            </w:r>
          </w:p>
        </w:tc>
        <w:tc>
          <w:tcPr/>
          <w:p>
            <w:pPr>
              <w:pStyle w:val="Compact"/>
              <w:jc w:val="center"/>
            </w:pPr>
            <w:r>
              <w:t xml:space="preserve">42.798</w:t>
            </w:r>
          </w:p>
        </w:tc>
      </w:tr>
      <w:tr>
        <w:tc>
          <w:tcPr/>
          <w:p>
            <w:pPr>
              <w:pStyle w:val="Compact"/>
              <w:jc w:val="left"/>
            </w:pPr>
            <w:r>
              <w:rPr>
                <w:bCs/>
                <w:b/>
              </w:rPr>
              <w:t xml:space="preserve">V</w:t>
            </w:r>
            <w:r>
              <w:t xml:space="preserve"> </w:t>
            </w:r>
            <w:r>
              <w:t xml:space="preserve">(</w:t>
            </w:r>
            <w:r>
              <w:rPr>
                <w:rStyle w:val="VerbatimChar"/>
              </w:rPr>
              <w:t xml:space="preserve">Emerging</w:t>
            </w:r>
            <w:r>
              <w:t xml:space="preserve">)</w:t>
            </w:r>
          </w:p>
        </w:tc>
        <w:tc>
          <w:tcPr/>
          <w:p>
            <w:pPr>
              <w:pStyle w:val="Compact"/>
              <w:jc w:val="left"/>
            </w:pPr>
            <w:r>
              <w:t xml:space="preserve">Đang nổi</w:t>
            </w:r>
          </w:p>
        </w:tc>
        <w:tc>
          <w:tcPr/>
          <w:p>
            <w:pPr>
              <w:pStyle w:val="Compact"/>
              <w:jc w:val="left"/>
            </w:pPr>
            <w:r>
              <w:t xml:space="preserve">Sri Lanka, Jordan, Lào, Campuchia, Myanmar, Nepal, Bhutan, Maldives, Uzbekistan, Tajikistan, Kyrgyzstan, Turkmenistan, Afghanistan, Azerbaijan, Iraq, Lebanon, Yemen (17 nước)</w:t>
            </w:r>
          </w:p>
        </w:tc>
        <w:tc>
          <w:tcPr/>
          <w:p>
            <w:pPr>
              <w:pStyle w:val="Compact"/>
              <w:jc w:val="center"/>
            </w:pPr>
            <w:r>
              <w:t xml:space="preserve">17.340</w:t>
            </w:r>
          </w:p>
        </w:tc>
      </w:tr>
      <w:tr>
        <w:tc>
          <w:tcPr/>
          <w:p>
            <w:pPr>
              <w:pStyle w:val="Compact"/>
              <w:jc w:val="left"/>
            </w:pPr>
            <w:r>
              <w:rPr>
                <w:bCs/>
                <w:b/>
              </w:rPr>
              <w:t xml:space="preserve">VI</w:t>
            </w:r>
            <w:r>
              <w:t xml:space="preserve"> </w:t>
            </w:r>
            <w:r>
              <w:t xml:space="preserve">(</w:t>
            </w:r>
            <w:r>
              <w:rPr>
                <w:rStyle w:val="VerbatimChar"/>
              </w:rPr>
              <w:t xml:space="preserve">SIDS_small</w:t>
            </w:r>
            <w:r>
              <w:t xml:space="preserve">)</w:t>
            </w:r>
          </w:p>
        </w:tc>
        <w:tc>
          <w:tcPr/>
          <w:p>
            <w:pPr>
              <w:pStyle w:val="Compact"/>
              <w:jc w:val="left"/>
            </w:pPr>
            <w:r>
              <w:t xml:space="preserve">SIDS (trường hợp biên)</w:t>
            </w:r>
          </w:p>
        </w:tc>
        <w:tc>
          <w:tcPr/>
          <w:p>
            <w:pPr>
              <w:pStyle w:val="Compact"/>
              <w:jc w:val="left"/>
            </w:pPr>
            <w:r>
              <w:t xml:space="preserve">Fiji, Kiribati, Papua New Guinea, Samoa, Solomon Islands, Tonga, Vanuatu,</w:t>
            </w:r>
            <w:r>
              <w:t xml:space="preserve"> </w:t>
            </w:r>
            <w:r>
              <w:rPr>
                <w:bCs/>
                <w:b/>
              </w:rPr>
              <w:t xml:space="preserve">Timor-Leste</w:t>
            </w:r>
          </w:p>
        </w:tc>
        <w:tc>
          <w:tcPr/>
          <w:p>
            <w:pPr>
              <w:pStyle w:val="Compact"/>
              <w:jc w:val="center"/>
            </w:pPr>
            <w:r>
              <w:t xml:space="preserve">1.916</w:t>
            </w:r>
          </w:p>
        </w:tc>
      </w:tr>
      <w:tr>
        <w:tc>
          <w:tcPr/>
          <w:p>
            <w:pPr>
              <w:pStyle w:val="Compact"/>
              <w:jc w:val="left"/>
            </w:pPr>
            <w:r>
              <w:rPr>
                <w:bCs/>
                <w:b/>
              </w:rPr>
              <w:t xml:space="preserve">Tổng</w:t>
            </w:r>
          </w:p>
        </w:tc>
        <w:tc>
          <w:tcPr/>
          <w:p>
            <w:pPr>
              <w:pStyle w:val="Compact"/>
            </w:pPr>
          </w:p>
        </w:tc>
        <w:tc>
          <w:tcPr/>
          <w:p>
            <w:pPr>
              <w:pStyle w:val="Compact"/>
              <w:jc w:val="left"/>
            </w:pPr>
            <w:r>
              <w:rPr>
                <w:bCs/>
                <w:b/>
              </w:rPr>
              <w:t xml:space="preserve">50 nền (LP-valid)</w:t>
            </w:r>
          </w:p>
        </w:tc>
        <w:tc>
          <w:tcPr/>
          <w:p>
            <w:pPr>
              <w:pStyle w:val="Compact"/>
              <w:jc w:val="center"/>
            </w:pPr>
            <w:r>
              <w:rPr>
                <w:bCs/>
                <w:b/>
              </w:rPr>
              <w:t xml:space="preserve">84.998</w:t>
            </w:r>
            <w:r>
              <w:t xml:space="preserve"> </w:t>
            </w:r>
            <w:r>
              <w:t xml:space="preserve">(khung mô tả tái lập)</w:t>
            </w:r>
          </w:p>
        </w:tc>
      </w:tr>
    </w:tbl>
    <w:p>
      <w:pPr>
        <w:pStyle w:val="BodyText"/>
      </w:pPr>
      <w:r>
        <w:rPr>
          <w:iCs/>
          <w:i/>
        </w:rPr>
        <w:t xml:space="preserve">Ghi chú: Cột N là số doanh nghiệp có</w:t>
      </w:r>
      <w:r>
        <w:rPr>
          <w:iCs/>
          <w:i/>
        </w:rPr>
        <w:t xml:space="preserve"> </w:t>
      </w:r>
      <w:r>
        <w:rPr>
          <w:bCs/>
          <w:b/>
          <w:iCs/>
          <w:i/>
        </w:rPr>
        <w:t xml:space="preserve">năng suất lao động hợp lệ (LP-valid)</w:t>
      </w:r>
      <w:r>
        <w:rPr>
          <w:iCs/>
          <w:i/>
        </w:rPr>
        <w:t xml:space="preserve">, tái lập trực tiếp từ dữ liệu thô bằng</w:t>
      </w:r>
      <w:r>
        <w:rPr>
          <w:iCs/>
          <w:i/>
        </w:rPr>
        <w:t xml:space="preserve"> </w:t>
      </w:r>
      <w:r>
        <w:rPr>
          <w:rStyle w:val="VerbatimChar"/>
          <w:iCs/>
          <w:i/>
        </w:rPr>
        <w:t xml:space="preserve">scripts/relock_descriptives_canonical.py</w:t>
      </w:r>
      <w:r>
        <w:rPr>
          <w:iCs/>
          <w:i/>
        </w:rPr>
        <w:t xml:space="preserve"> </w:t>
      </w:r>
      <w:r>
        <w:rPr>
          <w:iCs/>
          <w:i/>
        </w:rPr>
        <w:t xml:space="preserve">(cùng quy trình hài hòa hóa với pipeline P7, đã gồm China-2012). Tổng 84.998 trên đủ 50 nền / 107 cặp nền–năm (đã bổ sung đủ bốn đợt Azerbaijan 2009/2013/2019/2024 ở Nhóm V).</w:t>
      </w:r>
      <w:r>
        <w:rPr>
          <w:iCs/>
          <w:i/>
        </w:rPr>
        <w:t xml:space="preserve"> </w:t>
      </w:r>
      <w:r>
        <w:rPr>
          <w:bCs/>
          <w:b/>
          <w:iCs/>
          <w:i/>
        </w:rPr>
        <w:t xml:space="preserve">Quy ước Timor-Leste:</w:t>
      </w:r>
      <w:r>
        <w:rPr>
          <w:iCs/>
          <w:i/>
        </w:rPr>
        <w:t xml:space="preserve"> </w:t>
      </w:r>
      <w:r>
        <w:rPr>
          <w:iCs/>
          <w:i/>
        </w:rPr>
        <w:t xml:space="preserve">thuộc Nhóm VI ở khung mô tả và khung ước lượng đa quốc gia P7 (giữ Timor); riêng nghiên cứu chuyên sâu SIDS (P8) dùng 7 nền Thái Bình Dương và</w:t>
      </w:r>
      <w:r>
        <w:rPr>
          <w:iCs/>
          <w:i/>
        </w:rPr>
        <w:t xml:space="preserve"> </w:t>
      </w:r>
      <w:r>
        <w:rPr>
          <w:bCs/>
          <w:b/>
          <w:iCs/>
          <w:i/>
        </w:rPr>
        <w:t xml:space="preserve">loại</w:t>
      </w:r>
      <w:r>
        <w:rPr>
          <w:iCs/>
          <w:i/>
        </w:rPr>
        <w:t xml:space="preserve"> </w:t>
      </w:r>
      <w:r>
        <w:rPr>
          <w:iCs/>
          <w:i/>
        </w:rPr>
        <w:t xml:space="preserve">Timor-Leste. Nhật Bản được WBES khảo sát lần đầu năm 2025 (n=2.168), thành viên đầy đủ Nhóm I. Thứ bậc khung: pool phân loại 96.415/52 nhãn ⊇ khung phân tích đa quốc gia 88.869/50 nền ⊇ khung mô tả LP-valid 84.998/50 nền ⊇ mẫu hồi quy P7 M2 81.022 (M5 79.080). Nhãn nhóm theo biến</w:t>
      </w:r>
      <w:r>
        <w:rPr>
          <w:iCs/>
          <w:i/>
        </w:rPr>
        <w:t xml:space="preserve"> </w:t>
      </w:r>
      <w:r>
        <w:rPr>
          <w:rStyle w:val="VerbatimChar"/>
          <w:iCs/>
          <w:i/>
        </w:rPr>
        <w:t xml:space="preserve">icrv_label</w:t>
      </w:r>
      <w:r>
        <w:rPr>
          <w:iCs/>
          <w:i/>
        </w:rPr>
        <w:t xml:space="preserve">, dùng thống nhất trong luận án và hai chuyên đề.</w:t>
      </w:r>
    </w:p>
    <w:bookmarkEnd w:id="45"/>
    <w:bookmarkStart w:id="46" w:name="đặc-điểm-các-nhóm-icrv"/>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WGI, GNI, cơ chế tăng trưởng, khuôn mẫu WBES dự kiến.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 (trong đợt)</w:t>
            </w:r>
          </w:p>
        </w:tc>
        <w:tc>
          <w:tcPr/>
          <w:p>
            <w:pPr>
              <w:pStyle w:val="Compact"/>
              <w:jc w:val="left"/>
            </w:pPr>
            <w:r>
              <w:t xml:space="preserve">Cơ chế quốc tế hóa và hiệu quả</w:t>
            </w:r>
          </w:p>
        </w:tc>
      </w:tr>
      <w:tr>
        <w:tc>
          <w:tcPr/>
          <w:p>
            <w:pPr>
              <w:pStyle w:val="Compact"/>
              <w:jc w:val="left"/>
            </w:pPr>
            <w:r>
              <w:t xml:space="preserve">I,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~1,00</w:t>
            </w:r>
          </w:p>
        </w:tc>
        <w:tc>
          <w:tcPr/>
          <w:p>
            <w:pPr>
              <w:pStyle w:val="Compact"/>
              <w:jc w:val="left"/>
            </w:pPr>
            <w:r>
              <w:t xml:space="preserve">U ngược nhẹ / tuyến tính dương; điểm uốn ~88,6% (SG)</w:t>
            </w:r>
          </w:p>
        </w:tc>
      </w:tr>
      <w:tr>
        <w:tc>
          <w:tcPr/>
          <w:p>
            <w:pPr>
              <w:pStyle w:val="Compact"/>
              <w:jc w:val="left"/>
            </w:pPr>
            <w:r>
              <w:t xml:space="preserve">II, Resource</w:t>
            </w:r>
          </w:p>
        </w:tc>
        <w:tc>
          <w:tcPr/>
          <w:p>
            <w:pPr>
              <w:pStyle w:val="Compact"/>
              <w:jc w:val="left"/>
            </w:pPr>
            <w:r>
              <w:t xml:space="preserve">+0,00 đến +0,50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(1–4%)</w:t>
            </w:r>
          </w:p>
        </w:tc>
        <w:tc>
          <w:tcPr/>
          <w:p>
            <w:pPr>
              <w:pStyle w:val="Compact"/>
              <w:jc w:val="left"/>
            </w:pPr>
            <w:r>
              <w:t xml:space="preserve">~1,14</w:t>
            </w:r>
          </w:p>
        </w:tc>
        <w:tc>
          <w:tcPr/>
          <w:p>
            <w:pPr>
              <w:pStyle w:val="Compact"/>
              <w:jc w:val="left"/>
            </w:pPr>
            <w:r>
              <w:t xml:space="preserve">Phi tuyến suy yếu; nhà nước tô phân phối lại</w:t>
            </w:r>
          </w:p>
        </w:tc>
      </w:tr>
      <w:tr>
        <w:tc>
          <w:tcPr/>
          <w:p>
            <w:pPr>
              <w:pStyle w:val="Compact"/>
              <w:jc w:val="left"/>
            </w:pPr>
            <w:r>
              <w:t xml:space="preserve">III, Upper-mid</w:t>
            </w:r>
          </w:p>
        </w:tc>
        <w:tc>
          <w:tcPr/>
          <w:p>
            <w:pPr>
              <w:pStyle w:val="Compact"/>
              <w:jc w:val="left"/>
            </w:pPr>
            <w:r>
              <w:t xml:space="preserve">0,00 đến +0,80</w:t>
            </w:r>
          </w:p>
        </w:tc>
        <w:tc>
          <w:tcPr/>
          <w:p>
            <w:pPr>
              <w:pStyle w:val="Compact"/>
              <w:jc w:val="left"/>
            </w:pPr>
            <w:r>
              <w:t xml:space="preserve">$5k–$20k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~1,37</w:t>
            </w:r>
          </w:p>
        </w:tc>
        <w:tc>
          <w:tcPr/>
          <w:p>
            <w:pPr>
              <w:pStyle w:val="Compact"/>
              <w:jc w:val="left"/>
            </w:pPr>
            <w:r>
              <w:t xml:space="preserve">U ngược; điểm uốn ~47%</w:t>
            </w:r>
          </w:p>
        </w:tc>
      </w:tr>
      <w:tr>
        <w:tc>
          <w:tcPr/>
          <w:p>
            <w:pPr>
              <w:pStyle w:val="Compact"/>
              <w:jc w:val="left"/>
            </w:pPr>
            <w:r>
              <w:t xml:space="preserve">IV, Lower-mid transition</w:t>
            </w:r>
          </w:p>
        </w:tc>
        <w:tc>
          <w:tcPr/>
          <w:p>
            <w:pPr>
              <w:pStyle w:val="Compact"/>
              <w:jc w:val="left"/>
            </w:pPr>
            <w:r>
              <w:t xml:space="preserve">-0,50 đến 0,00</w:t>
            </w:r>
          </w:p>
        </w:tc>
        <w:tc>
          <w:tcPr/>
          <w:p>
            <w:pPr>
              <w:pStyle w:val="Compact"/>
              <w:jc w:val="left"/>
            </w:pPr>
            <w:r>
              <w:t xml:space="preserve">$1k–$5k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~1,31</w:t>
            </w:r>
          </w:p>
        </w:tc>
        <w:tc>
          <w:tcPr/>
          <w:p>
            <w:pPr>
              <w:pStyle w:val="Compact"/>
              <w:jc w:val="left"/>
            </w:pPr>
            <w:r>
              <w:t xml:space="preserve">U ngược; điểm uốn 39–46% (VNM), bẫy chuyển hướng nguồn lực</w:t>
            </w:r>
          </w:p>
        </w:tc>
      </w:tr>
      <w:tr>
        <w:tc>
          <w:tcPr/>
          <w:p>
            <w:pPr>
              <w:pStyle w:val="Compact"/>
              <w:jc w:val="left"/>
            </w:pPr>
            <w:r>
              <w:t xml:space="preserve">V, Emerging</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~1,39</w:t>
            </w:r>
          </w:p>
        </w:tc>
        <w:tc>
          <w:tcPr/>
          <w:p>
            <w:pPr>
              <w:pStyle w:val="Compact"/>
              <w:jc w:val="left"/>
            </w:pPr>
            <w:r>
              <w:t xml:space="preserve">Yếu; khoảng trống thể chế dẫn đến đổi mới bằng nguồn lực hạn chế</w:t>
            </w:r>
          </w:p>
        </w:tc>
      </w:tr>
      <w:tr>
        <w:tc>
          <w:tcPr/>
          <w:p>
            <w:pPr>
              <w:pStyle w:val="Compact"/>
              <w:jc w:val="left"/>
            </w:pPr>
            <w:r>
              <w:t xml:space="preserve">VI,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U-curve không vận hành</w:t>
            </w:r>
          </w:p>
        </w:tc>
      </w:tr>
    </w:tbl>
    <w:p>
      <w:pPr>
        <w:pStyle w:val="BodyText"/>
      </w:pPr>
      <w:r>
        <w:rPr>
          <w:iCs/>
          <w:i/>
        </w:rPr>
        <w:t xml:space="preserve">Nguồn: Tổng hợp từ World Bank Enterprise Surveys (2025); WGI từ Kaufmann et al. (2011); GNI từ World Bank (2025, tháng 7). Cột sd log LP: trung vị độ lệch chuẩn ln(năng suất lao động) tính trong từng đợt khảo sát (Bảng 2.3.3.1). Khuôn mẫu quốc tế hóa – hiệu quả từ các nghiên cứu thành phần của luận án (Đỗ &amp; Phan, 2026, VEFR, JED, JFAR, MIR).</w:t>
      </w:r>
    </w:p>
    <w:p>
      <w:r>
        <w:pict>
          <v:rect style="width:0;height:1.5pt" o:hralign="center" o:hrstd="t" o:hr="t"/>
        </w:pict>
      </w:r>
    </w:p>
    <w:bookmarkEnd w:id="46"/>
    <w:bookmarkEnd w:id="47"/>
    <w:bookmarkStart w:id="60" w:name="X71126d3a9cbef6cfbe4977212de66e8cb3d47a9"/>
    <w:p>
      <w:pPr>
        <w:pStyle w:val="Heading3"/>
      </w:pPr>
      <w:r>
        <w:t xml:space="preserve">2.3.3 Thực trạng năng suất lao động và quốc tế hóa</w:t>
      </w:r>
    </w:p>
    <w:bookmarkStart w:id="54" w:name="nguồn-dữ-liệu-và-cấu-trúc-mẫu-gộp"/>
    <w:p>
      <w:pPr>
        <w:pStyle w:val="Heading4"/>
      </w:pPr>
      <w:r>
        <w:t xml:space="preserve">2.3.3.1 Nguồn dữ liệu và cấu trúc mẫu gộp</w:t>
      </w:r>
    </w:p>
    <w:p>
      <w:pPr>
        <w:pStyle w:val="FirstParagraph"/>
      </w:pPr>
      <w:r>
        <w:rPr>
          <w:bCs/>
          <w:b/>
        </w:rPr>
        <w:t xml:space="preserve">Phạm vi tổng hợp dữ liệu</w:t>
      </w:r>
      <w:r>
        <w:t xml:space="preserve">. Khung mô tả tái lập (LP-valid) gồm</w:t>
      </w:r>
      <w:r>
        <w:t xml:space="preserve"> </w:t>
      </w:r>
      <w:r>
        <w:rPr>
          <w:bCs/>
          <w:b/>
        </w:rPr>
        <w:t xml:space="preserve">84.998 doanh nghiệp có năng suất hợp lệ</w:t>
      </w:r>
      <w:r>
        <w:t xml:space="preserve">, đủ 50 nền kinh tế,</w:t>
      </w:r>
      <w:r>
        <w:t xml:space="preserve"> </w:t>
      </w:r>
      <w:r>
        <w:rPr>
          <w:bCs/>
          <w:b/>
        </w:rPr>
        <w:t xml:space="preserve">107 cặp nền kinh tế × năm</w:t>
      </w:r>
      <w:r>
        <w:t xml:space="preserve">, giai đoạn 2006–2026 (bao gồm Kiribati 2025, đợt khảo sát WBES đầu tiên của nền kinh tế này); khung này thuộc khung phân tích đa quốc gia 88.869/50 nền dùng cho P7. Tổng hợp này kế thừa và mở rộng từ mẫu gộp 17 nền châu Á mới nổi (~40.633 doanh nghiệp) của Đỗ &amp; Phan (2026, VEFR), gấp hơn 2 lần. Phân bố theo nhóm ICRV: Nhóm IV Chuyển đổi TB-thấp 42.798 (50,4%), Nhóm V Đang nổi 17.340 (20,4%), Nhóm III Trung bình cao 15.174 (17,9%), Nhóm I Advanced đổi mới 5.688 (6,7%), Nhóm VI SIDS 1.916 (2,3%), Nhóm II Advanced tài nguyên 2.082 (2,4%). Có</w:t>
      </w:r>
      <w:r>
        <w:t xml:space="preserve"> </w:t>
      </w:r>
      <w:r>
        <w:rPr>
          <w:bCs/>
          <w:b/>
        </w:rPr>
        <w:t xml:space="preserve">13 nền kinh tế khảo sát năm 2025</w:t>
      </w:r>
      <w:r>
        <w:t xml:space="preserve"> </w:t>
      </w:r>
      <w:r>
        <w:t xml:space="preserve">với 16.880 doanh nghiệp (19,0% mẫu gộp, gồm Nhật Bản, đợt khảo sát đầu tiên, n=2.168); đợt khảo sát Nepal 2025 dùng bảng hỏi BREADY Micro (doanh nghiệp siêu nhỏ), không phải lát cắt ngang chuẩn nên không thuộc mẫu gộp, chỉ được nhắc đến như tham chiếu.</w:t>
      </w:r>
    </w:p>
    <w:p>
      <w:pPr>
        <w:pStyle w:val="CaptionedFigure"/>
      </w:pPr>
      <w:r>
        <w:drawing>
          <wp:inline>
            <wp:extent cx="5753100" cy="3477620"/>
            <wp:effectExtent b="0" l="0" r="0" t="0"/>
            <wp:docPr descr="Hình 2.3.3.1. Phân bố mẫu gộp mô tả theo 3 thế hệ lược đồ WBES." title="" id="49" name="Picture"/>
            <a:graphic>
              <a:graphicData uri="http://schemas.openxmlformats.org/drawingml/2006/picture">
                <pic:pic>
                  <pic:nvPicPr>
                    <pic:cNvPr descr="figures/hinh_2_3_3_1.png" id="50" name="Picture"/>
                    <pic:cNvPicPr>
                      <a:picLocks noChangeArrowheads="1" noChangeAspect="1"/>
                    </pic:cNvPicPr>
                  </pic:nvPicPr>
                  <pic:blipFill>
                    <a:blip r:embed="rId48"/>
                    <a:stretch>
                      <a:fillRect/>
                    </a:stretch>
                  </pic:blipFill>
                  <pic:spPr bwMode="auto">
                    <a:xfrm>
                      <a:off x="0" y="0"/>
                      <a:ext cx="5753100" cy="3477620"/>
                    </a:xfrm>
                    <a:prstGeom prst="rect">
                      <a:avLst/>
                    </a:prstGeom>
                    <a:noFill/>
                    <a:ln w="9525">
                      <a:noFill/>
                      <a:headEnd/>
                      <a:tailEnd/>
                    </a:ln>
                  </pic:spPr>
                </pic:pic>
              </a:graphicData>
            </a:graphic>
          </wp:inline>
        </w:drawing>
      </w:r>
    </w:p>
    <w:p>
      <w:pPr>
        <w:pStyle w:val="ImageCaption"/>
      </w:pPr>
      <w:r>
        <w:t xml:space="preserve">Hình 2.3.3.1. Phân bố mẫu gộp mô tả theo 3 thế hệ lược đồ WBES.</w:t>
      </w:r>
    </w:p>
    <w:p>
      <w:pPr>
        <w:pStyle w:val="BodyText"/>
      </w:pPr>
      <w:r>
        <w:rPr>
          <w:iCs/>
          <w:i/>
        </w:rPr>
        <w:t xml:space="preserve">Hình 2.3.3.1. Phân bố mẫu gộp mô tả 88.869 doanh nghiệp (2006–2026) theo 3 thế hệ schema WBES: PICS3 (2006–2012, 18 đợt, n=8.048), Standardized (2013–2017, 27 đợt, n=23.940), BREADY (2018–2026, 58 đợt, n=56.881). Các đợt 2024–2026 đóng góp 27.859 doanh nghiệp (31,3% mẫu gộp, 31 đợt), phản ánh chu kỳ khảo sát WBES dày lên rõ rệt sau đại dịch.</w:t>
      </w:r>
    </w:p>
    <w:p>
      <w:pPr>
        <w:pStyle w:val="CaptionedFigure"/>
      </w:pPr>
      <w:r>
        <w:drawing>
          <wp:inline>
            <wp:extent cx="5753100" cy="2837145"/>
            <wp:effectExtent b="0" l="0" r="0" t="0"/>
            <wp:docPr descr="Hình 2.3.3.2. Phân bố mẫu gộp theo 6 nhóm ICRV." title="" id="52" name="Picture"/>
            <a:graphic>
              <a:graphicData uri="http://schemas.openxmlformats.org/drawingml/2006/picture">
                <pic:pic>
                  <pic:nvPicPr>
                    <pic:cNvPr descr="figures/hinh_2_3_3_2.png" id="53" name="Picture"/>
                    <pic:cNvPicPr>
                      <a:picLocks noChangeArrowheads="1" noChangeAspect="1"/>
                    </pic:cNvPicPr>
                  </pic:nvPicPr>
                  <pic:blipFill>
                    <a:blip r:embed="rId51"/>
                    <a:stretch>
                      <a:fillRect/>
                    </a:stretch>
                  </pic:blipFill>
                  <pic:spPr bwMode="auto">
                    <a:xfrm>
                      <a:off x="0" y="0"/>
                      <a:ext cx="5753100" cy="2837145"/>
                    </a:xfrm>
                    <a:prstGeom prst="rect">
                      <a:avLst/>
                    </a:prstGeom>
                    <a:noFill/>
                    <a:ln w="9525">
                      <a:noFill/>
                      <a:headEnd/>
                      <a:tailEnd/>
                    </a:ln>
                  </pic:spPr>
                </pic:pic>
              </a:graphicData>
            </a:graphic>
          </wp:inline>
        </w:drawing>
      </w:r>
    </w:p>
    <w:p>
      <w:pPr>
        <w:pStyle w:val="ImageCaption"/>
      </w:pPr>
      <w:r>
        <w:t xml:space="preserve">Hình 2.3.3.2. Phân bố mẫu gộp theo 6 nhóm ICRV.</w:t>
      </w:r>
    </w:p>
    <w:p>
      <w:pPr>
        <w:pStyle w:val="BodyText"/>
      </w:pPr>
      <w:r>
        <w:rPr>
          <w:iCs/>
          <w:i/>
        </w:rPr>
        <w:t xml:space="preserve">Hình 2.3.3.2. Bar chart phân bố theo 6 nhóm ICRV (khung mô tả LP-valid 84.998, 50 nền): IV Chuyển đổi TB-thấp (42.798, 50,4%), V Đang nổi (17.340, 20,4%), III Trung bình cao (15.174, 17,9%), I Advanced đổi mới (5.688, 6,7%), VI SIDS (1.916, 2,3%), II Advanced tài nguyên (2.082, 2,4%).</w:t>
      </w:r>
    </w:p>
    <w:p>
      <w:pPr>
        <w:pStyle w:val="BodyText"/>
      </w:pPr>
      <w:r>
        <w:rPr>
          <w:bCs/>
          <w:b/>
        </w:rPr>
        <w:t xml:space="preserve">Trường hợp biên</w:t>
      </w:r>
      <w:r>
        <w:t xml:space="preserve">: Nhóm VI đủ</w:t>
      </w:r>
      <w:r>
        <w:t xml:space="preserve"> </w:t>
      </w:r>
      <w:r>
        <w:rPr>
          <w:bCs/>
          <w:b/>
        </w:rPr>
        <w:t xml:space="preserve">8/8 nền SIDS</w:t>
      </w:r>
      <w:r>
        <w:t xml:space="preserve"> </w:t>
      </w:r>
      <w:r>
        <w:t xml:space="preserve">(FJI, PNG, SLB, TON, VUT, WSM, KIR, TLS). Quy trình hài hòa hóa: FSTS =</w:t>
      </w:r>
      <w:r>
        <w:t xml:space="preserve"> </w:t>
      </w:r>
      <w:r>
        <w:rPr>
          <w:rStyle w:val="VerbatimChar"/>
        </w:rPr>
        <w:t xml:space="preserve">d3b + d3c</w:t>
      </w:r>
      <w:r>
        <w:t xml:space="preserve">; cắt đuôi (winsorize) log năng suất ở mức 1/99 phân vị trong cụm quốc gia × năm.</w:t>
      </w:r>
    </w:p>
    <w:bookmarkEnd w:id="54"/>
    <w:bookmarkStart w:id="58" w:name="phân-tán-năng-suất-lao-động"/>
    <w:p>
      <w:pPr>
        <w:pStyle w:val="Heading4"/>
      </w:pPr>
      <w:r>
        <w:t xml:space="preserve">2.3.3.2 Phân tán năng suất lao động</w:t>
      </w:r>
    </w:p>
    <w:p>
      <w:pPr>
        <w:pStyle w:val="FirstParagraph"/>
      </w:pPr>
      <w:r>
        <w:rPr>
          <w:bCs/>
          <w:b/>
        </w:rPr>
        <w:t xml:space="preserve">Nguyên tắc đo lường.</w:t>
      </w:r>
      <w:r>
        <w:t xml:space="preserve"> </w:t>
      </w:r>
      <w:r>
        <w:t xml:space="preserve">Doanh thu WBES được báo cáo bằng</w:t>
      </w:r>
      <w:r>
        <w:t xml:space="preserve"> </w:t>
      </w:r>
      <w:r>
        <w:rPr>
          <w:bCs/>
          <w:b/>
        </w:rPr>
        <w:t xml:space="preserve">nội tệ</w:t>
      </w:r>
      <w:r>
        <w:t xml:space="preserve"> </w:t>
      </w:r>
      <w:r>
        <w:t xml:space="preserve">của từng nền kinh tế, nên không thể so sánh trực tiếp</w:t>
      </w:r>
      <w:r>
        <w:t xml:space="preserve"> </w:t>
      </w:r>
      <w:r>
        <w:rPr>
          <w:iCs/>
          <w:i/>
        </w:rPr>
        <w:t xml:space="preserve">mức</w:t>
      </w:r>
      <w:r>
        <w:t xml:space="preserve"> </w:t>
      </w:r>
      <w:r>
        <w:t xml:space="preserve">log năng suất giữa các nước. Mọi thống kê phân tán ở Bảng 2.3.3.1 vì vậy được tính</w:t>
      </w:r>
      <w:r>
        <w:t xml:space="preserve"> </w:t>
      </w:r>
      <w:r>
        <w:rPr>
          <w:bCs/>
          <w:b/>
        </w:rPr>
        <w:t xml:space="preserve">trong từng cặp nền kinh tế × năm</w:t>
      </w:r>
      <w:r>
        <w:t xml:space="preserve">, trên thang log, thừa số quy đổi tiền tệ là hằng số cộng và triệt tiêu hoàn toàn trong độ lệch chuẩn và các tỷ số phân vị, rồi lấy trung vị giữa các đợt trong mỗi nhóm ICRV. Đây là thước đo phân tán hợp lệ và bất biến với đơn vị tiền tệ.</w:t>
      </w:r>
    </w:p>
    <w:p>
      <w:pPr>
        <w:pStyle w:val="BodyText"/>
      </w:pPr>
      <w:r>
        <w:rPr>
          <w:bCs/>
          <w:b/>
        </w:rPr>
        <w:t xml:space="preserve">Bảng 2.3.3.1</w:t>
      </w:r>
      <w:r>
        <w:t xml:space="preserve">.</w:t>
      </w:r>
      <w:r>
        <w:t xml:space="preserve"> </w:t>
      </w:r>
      <w:r>
        <w:rPr>
          <w:iCs/>
          <w:i/>
        </w:rPr>
        <w:t xml:space="preserve">Phân tán năng suất lao động trong từng đợt khảo sát, theo nhóm ICRV (trung vị giữa các đợt; khung mô tả tái lập 107 cặp nền kinh tế × năm).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w:t>
            </w:r>
          </w:p>
        </w:tc>
        <w:tc>
          <w:tcPr/>
          <w:p>
            <w:pPr>
              <w:pStyle w:val="Compact"/>
              <w:jc w:val="right"/>
            </w:pPr>
            <w:r>
              <w:t xml:space="preserve">Số đợt</w:t>
            </w:r>
          </w:p>
        </w:tc>
        <w:tc>
          <w:tcPr/>
          <w:p>
            <w:pPr>
              <w:pStyle w:val="Compact"/>
              <w:jc w:val="right"/>
            </w:pPr>
            <w:r>
              <w:t xml:space="preserve">n_firms</w:t>
            </w:r>
          </w:p>
        </w:tc>
        <w:tc>
          <w:tcPr/>
          <w:p>
            <w:pPr>
              <w:pStyle w:val="Compact"/>
              <w:jc w:val="right"/>
            </w:pPr>
            <w:r>
              <w:t xml:space="preserve">sd ln(LP)</w:t>
            </w:r>
          </w:p>
        </w:tc>
        <w:tc>
          <w:tcPr/>
          <w:p>
            <w:pPr>
              <w:pStyle w:val="Compact"/>
              <w:jc w:val="right"/>
            </w:pPr>
            <w:r>
              <w:t xml:space="preserve">P90/P10</w:t>
            </w:r>
          </w:p>
        </w:tc>
        <w:tc>
          <w:tcPr/>
          <w:p>
            <w:pPr>
              <w:pStyle w:val="Compact"/>
              <w:jc w:val="right"/>
            </w:pPr>
            <w:r>
              <w:t xml:space="preserve">P75/P25</w:t>
            </w:r>
          </w:p>
        </w:tc>
      </w:tr>
      <w:tr>
        <w:tc>
          <w:tcPr/>
          <w:p>
            <w:pPr>
              <w:pStyle w:val="Compact"/>
              <w:jc w:val="left"/>
            </w:pPr>
            <w:r>
              <w:t xml:space="preserve">I, Advanced đổi mới</w:t>
            </w:r>
          </w:p>
        </w:tc>
        <w:tc>
          <w:tcPr/>
          <w:p>
            <w:pPr>
              <w:pStyle w:val="Compact"/>
              <w:jc w:val="right"/>
            </w:pPr>
            <w:r>
              <w:t xml:space="preserve">7</w:t>
            </w:r>
          </w:p>
        </w:tc>
        <w:tc>
          <w:tcPr/>
          <w:p>
            <w:pPr>
              <w:pStyle w:val="Compact"/>
              <w:jc w:val="right"/>
            </w:pPr>
            <w:r>
              <w:t xml:space="preserve">5.688</w:t>
            </w:r>
          </w:p>
        </w:tc>
        <w:tc>
          <w:tcPr/>
          <w:p>
            <w:pPr>
              <w:pStyle w:val="Compact"/>
              <w:jc w:val="right"/>
            </w:pPr>
            <w:r>
              <w:rPr>
                <w:bCs/>
                <w:b/>
              </w:rPr>
              <w:t xml:space="preserve">0,96</w:t>
            </w:r>
          </w:p>
        </w:tc>
        <w:tc>
          <w:tcPr/>
          <w:p>
            <w:pPr>
              <w:pStyle w:val="Compact"/>
              <w:jc w:val="right"/>
            </w:pPr>
            <w:r>
              <w:rPr>
                <w:bCs/>
                <w:b/>
              </w:rPr>
              <w:t xml:space="preserve">11,7</w:t>
            </w:r>
          </w:p>
        </w:tc>
        <w:tc>
          <w:tcPr/>
          <w:p>
            <w:pPr>
              <w:pStyle w:val="Compact"/>
              <w:jc w:val="right"/>
            </w:pPr>
            <w:r>
              <w:t xml:space="preserve">3,5</w:t>
            </w:r>
          </w:p>
        </w:tc>
      </w:tr>
      <w:tr>
        <w:tc>
          <w:tcPr/>
          <w:p>
            <w:pPr>
              <w:pStyle w:val="Compact"/>
              <w:jc w:val="left"/>
            </w:pPr>
            <w:r>
              <w:t xml:space="preserve">II, Advanced tài nguyên</w:t>
            </w:r>
          </w:p>
        </w:tc>
        <w:tc>
          <w:tcPr/>
          <w:p>
            <w:pPr>
              <w:pStyle w:val="Compact"/>
              <w:jc w:val="right"/>
            </w:pPr>
            <w:r>
              <w:t xml:space="preserve">6</w:t>
            </w:r>
          </w:p>
        </w:tc>
        <w:tc>
          <w:tcPr/>
          <w:p>
            <w:pPr>
              <w:pStyle w:val="Compact"/>
              <w:jc w:val="right"/>
            </w:pPr>
            <w:r>
              <w:t xml:space="preserve">2.082</w:t>
            </w:r>
          </w:p>
        </w:tc>
        <w:tc>
          <w:tcPr/>
          <w:p>
            <w:pPr>
              <w:pStyle w:val="Compact"/>
              <w:jc w:val="right"/>
            </w:pPr>
            <w:r>
              <w:t xml:space="preserve">1,13</w:t>
            </w:r>
          </w:p>
        </w:tc>
        <w:tc>
          <w:tcPr/>
          <w:p>
            <w:pPr>
              <w:pStyle w:val="Compact"/>
              <w:jc w:val="right"/>
            </w:pPr>
            <w:r>
              <w:t xml:space="preserve">20,8</w:t>
            </w:r>
          </w:p>
        </w:tc>
        <w:tc>
          <w:tcPr/>
          <w:p>
            <w:pPr>
              <w:pStyle w:val="Compact"/>
              <w:jc w:val="right"/>
            </w:pPr>
            <w:r>
              <w:t xml:space="preserve">4,8</w:t>
            </w:r>
          </w:p>
        </w:tc>
      </w:tr>
      <w:tr>
        <w:tc>
          <w:tcPr/>
          <w:p>
            <w:pPr>
              <w:pStyle w:val="Compact"/>
              <w:jc w:val="left"/>
            </w:pPr>
            <w:r>
              <w:t xml:space="preserve">III, Trung bình cao</w:t>
            </w:r>
          </w:p>
        </w:tc>
        <w:tc>
          <w:tcPr/>
          <w:p>
            <w:pPr>
              <w:pStyle w:val="Compact"/>
              <w:jc w:val="right"/>
            </w:pPr>
            <w:r>
              <w:t xml:space="preserve">18</w:t>
            </w:r>
          </w:p>
        </w:tc>
        <w:tc>
          <w:tcPr/>
          <w:p>
            <w:pPr>
              <w:pStyle w:val="Compact"/>
              <w:jc w:val="right"/>
            </w:pPr>
            <w:r>
              <w:t xml:space="preserve">15.174</w:t>
            </w:r>
          </w:p>
        </w:tc>
        <w:tc>
          <w:tcPr/>
          <w:p>
            <w:pPr>
              <w:pStyle w:val="Compact"/>
              <w:jc w:val="right"/>
            </w:pPr>
            <w:r>
              <w:t xml:space="preserve">1,29</w:t>
            </w:r>
          </w:p>
        </w:tc>
        <w:tc>
          <w:tcPr/>
          <w:p>
            <w:pPr>
              <w:pStyle w:val="Compact"/>
              <w:jc w:val="right"/>
            </w:pPr>
            <w:r>
              <w:t xml:space="preserve">25,0</w:t>
            </w:r>
          </w:p>
        </w:tc>
        <w:tc>
          <w:tcPr/>
          <w:p>
            <w:pPr>
              <w:pStyle w:val="Compact"/>
              <w:jc w:val="right"/>
            </w:pPr>
            <w:r>
              <w:t xml:space="preserve">5,3</w:t>
            </w:r>
          </w:p>
        </w:tc>
      </w:tr>
      <w:tr>
        <w:tc>
          <w:tcPr/>
          <w:p>
            <w:pPr>
              <w:pStyle w:val="Compact"/>
              <w:jc w:val="left"/>
            </w:pPr>
            <w:r>
              <w:t xml:space="preserve">IV, Chuyển đổi TB-thấp</w:t>
            </w:r>
          </w:p>
        </w:tc>
        <w:tc>
          <w:tcPr/>
          <w:p>
            <w:pPr>
              <w:pStyle w:val="Compact"/>
              <w:jc w:val="right"/>
            </w:pPr>
            <w:r>
              <w:t xml:space="preserve">17</w:t>
            </w:r>
          </w:p>
        </w:tc>
        <w:tc>
          <w:tcPr/>
          <w:p>
            <w:pPr>
              <w:pStyle w:val="Compact"/>
              <w:jc w:val="right"/>
            </w:pPr>
            <w:r>
              <w:t xml:space="preserve">42.798</w:t>
            </w:r>
          </w:p>
        </w:tc>
        <w:tc>
          <w:tcPr/>
          <w:p>
            <w:pPr>
              <w:pStyle w:val="Compact"/>
              <w:jc w:val="right"/>
            </w:pPr>
            <w:r>
              <w:t xml:space="preserve">1,27</w:t>
            </w:r>
          </w:p>
        </w:tc>
        <w:tc>
          <w:tcPr/>
          <w:p>
            <w:pPr>
              <w:pStyle w:val="Compact"/>
              <w:jc w:val="right"/>
            </w:pPr>
            <w:r>
              <w:t xml:space="preserve">27,8</w:t>
            </w:r>
          </w:p>
        </w:tc>
        <w:tc>
          <w:tcPr/>
          <w:p>
            <w:pPr>
              <w:pStyle w:val="Compact"/>
              <w:jc w:val="right"/>
            </w:pPr>
            <w:r>
              <w:t xml:space="preserve">5,6</w:t>
            </w:r>
          </w:p>
        </w:tc>
      </w:tr>
      <w:tr>
        <w:tc>
          <w:tcPr/>
          <w:p>
            <w:pPr>
              <w:pStyle w:val="Compact"/>
              <w:jc w:val="left"/>
            </w:pPr>
            <w:r>
              <w:t xml:space="preserve">V, Đang nổi</w:t>
            </w:r>
          </w:p>
        </w:tc>
        <w:tc>
          <w:tcPr/>
          <w:p>
            <w:pPr>
              <w:pStyle w:val="Compact"/>
              <w:jc w:val="right"/>
            </w:pPr>
            <w:r>
              <w:t xml:space="preserve">43</w:t>
            </w:r>
          </w:p>
        </w:tc>
        <w:tc>
          <w:tcPr/>
          <w:p>
            <w:pPr>
              <w:pStyle w:val="Compact"/>
              <w:jc w:val="right"/>
            </w:pPr>
            <w:r>
              <w:t xml:space="preserve">17.340</w:t>
            </w:r>
          </w:p>
        </w:tc>
        <w:tc>
          <w:tcPr/>
          <w:p>
            <w:pPr>
              <w:pStyle w:val="Compact"/>
              <w:jc w:val="right"/>
            </w:pPr>
            <w:r>
              <w:rPr>
                <w:bCs/>
                <w:b/>
              </w:rPr>
              <w:t xml:space="preserve">1,34</w:t>
            </w:r>
          </w:p>
        </w:tc>
        <w:tc>
          <w:tcPr/>
          <w:p>
            <w:pPr>
              <w:pStyle w:val="Compact"/>
              <w:jc w:val="right"/>
            </w:pPr>
            <w:r>
              <w:rPr>
                <w:bCs/>
                <w:b/>
              </w:rPr>
              <w:t xml:space="preserve">30,0</w:t>
            </w:r>
          </w:p>
        </w:tc>
        <w:tc>
          <w:tcPr/>
          <w:p>
            <w:pPr>
              <w:pStyle w:val="Compact"/>
              <w:jc w:val="right"/>
            </w:pPr>
            <w:r>
              <w:t xml:space="preserve">5,8</w:t>
            </w:r>
          </w:p>
        </w:tc>
      </w:tr>
      <w:tr>
        <w:tc>
          <w:tcPr/>
          <w:p>
            <w:pPr>
              <w:pStyle w:val="Compact"/>
              <w:jc w:val="left"/>
            </w:pPr>
            <w:r>
              <w:t xml:space="preserve">VI, SIDS</w:t>
            </w:r>
          </w:p>
        </w:tc>
        <w:tc>
          <w:tcPr/>
          <w:p>
            <w:pPr>
              <w:pStyle w:val="Compact"/>
              <w:jc w:val="right"/>
            </w:pPr>
            <w:r>
              <w:t xml:space="preserve">16</w:t>
            </w:r>
          </w:p>
        </w:tc>
        <w:tc>
          <w:tcPr/>
          <w:p>
            <w:pPr>
              <w:pStyle w:val="Compact"/>
              <w:jc w:val="right"/>
            </w:pPr>
            <w:r>
              <w:t xml:space="preserve">1.916</w:t>
            </w:r>
          </w:p>
        </w:tc>
        <w:tc>
          <w:tcPr/>
          <w:p>
            <w:pPr>
              <w:pStyle w:val="Compact"/>
              <w:jc w:val="right"/>
            </w:pPr>
            <w:r>
              <w:t xml:space="preserve">1,30</w:t>
            </w:r>
          </w:p>
        </w:tc>
        <w:tc>
          <w:tcPr/>
          <w:p>
            <w:pPr>
              <w:pStyle w:val="Compact"/>
              <w:jc w:val="right"/>
            </w:pPr>
            <w:r>
              <w:t xml:space="preserve">26,3</w:t>
            </w:r>
          </w:p>
        </w:tc>
        <w:tc>
          <w:tcPr/>
          <w:p>
            <w:pPr>
              <w:pStyle w:val="Compact"/>
              <w:jc w:val="right"/>
            </w:pPr>
            <w:r>
              <w:t xml:space="preserve">5,4</w:t>
            </w:r>
          </w:p>
        </w:tc>
      </w:tr>
    </w:tbl>
    <w:p>
      <w:pPr>
        <w:pStyle w:val="BodyText"/>
      </w:pPr>
      <w:r>
        <w:rPr>
          <w:iCs/>
          <w:i/>
        </w:rPr>
        <w:t xml:space="preserve">Ghi chú: sd, P90/P10 và P75/P25 tính trong từng đợt khảo sát (bất biến tiền tệ), sau đó lấy trung vị giữa các đợt của nhóm; n_firms là số quan sát có năng suất hợp lệ (doanh thu và lao động dương). Trong nội bộ Nhóm II, các nền lớn nhất có phân tán đặc biệt hẹp (Saudi Arabia 0,49; Qatar 0,33), đặc trưng nhà nước tô; trung vị nhóm bị kéo lên bởi các nền nhỏ (Kuwait 1,16; Brunei 1,12). Kiribati 2025: sd 1,48, rộng nhất trong các đợt SIDS.</w:t>
      </w:r>
    </w:p>
    <w:p>
      <w:pPr>
        <w:pStyle w:val="CaptionedFigure"/>
      </w:pPr>
      <w:r>
        <w:drawing>
          <wp:inline>
            <wp:extent cx="5753100" cy="3627703"/>
            <wp:effectExtent b="0" l="0" r="0" t="0"/>
            <wp:docPr descr="Hình 2.3.3.3. Phân phối năng suất chuẩn hóa theo nhóm ICRV." title="" id="56" name="Picture"/>
            <a:graphic>
              <a:graphicData uri="http://schemas.openxmlformats.org/drawingml/2006/picture">
                <pic:pic>
                  <pic:nvPicPr>
                    <pic:cNvPr descr="figures/hinh_2_3_3_3.png" id="57" name="Picture"/>
                    <pic:cNvPicPr>
                      <a:picLocks noChangeArrowheads="1" noChangeAspect="1"/>
                    </pic:cNvPicPr>
                  </pic:nvPicPr>
                  <pic:blipFill>
                    <a:blip r:embed="rId55"/>
                    <a:stretch>
                      <a:fillRect/>
                    </a:stretch>
                  </pic:blipFill>
                  <pic:spPr bwMode="auto">
                    <a:xfrm>
                      <a:off x="0" y="0"/>
                      <a:ext cx="5753100" cy="3627703"/>
                    </a:xfrm>
                    <a:prstGeom prst="rect">
                      <a:avLst/>
                    </a:prstGeom>
                    <a:noFill/>
                    <a:ln w="9525">
                      <a:noFill/>
                      <a:headEnd/>
                      <a:tailEnd/>
                    </a:ln>
                  </pic:spPr>
                </pic:pic>
              </a:graphicData>
            </a:graphic>
          </wp:inline>
        </w:drawing>
      </w:r>
    </w:p>
    <w:p>
      <w:pPr>
        <w:pStyle w:val="ImageCaption"/>
      </w:pPr>
      <w:r>
        <w:t xml:space="preserve">Hình 2.3.3.3. Phân phối năng suất chuẩn hóa theo nhóm ICRV.</w:t>
      </w:r>
    </w:p>
    <w:p>
      <w:pPr>
        <w:pStyle w:val="BodyText"/>
      </w:pPr>
      <w:r>
        <w:rPr>
          <w:iCs/>
          <w:i/>
        </w:rPr>
        <w:t xml:space="preserve">Hình 2.3.3.3. Đồ thị mật độ kernel của năng suất chuẩn hóa trong đợt cho 6 nhóm ICRV, Nhóm I hẹp nhất (P90/P10 ≈ 11,7 lần), Nhóm V rộng nhất (≈ 30 lần).</w:t>
      </w:r>
    </w:p>
    <w:p>
      <w:pPr>
        <w:pStyle w:val="BodyText"/>
      </w:pPr>
      <w:r>
        <w:rPr>
          <w:bCs/>
          <w:b/>
        </w:rPr>
        <w:t xml:space="preserve">Ba phát hiện từ phân tán trong đợt</w:t>
      </w:r>
      <w:r>
        <w:t xml:space="preserve">: (1)</w:t>
      </w:r>
      <w:r>
        <w:t xml:space="preserve"> </w:t>
      </w:r>
      <w:r>
        <w:rPr>
          <w:bCs/>
          <w:b/>
        </w:rPr>
        <w:t xml:space="preserve">Phổ thể chế của phân tán là thực và đơn điệu theo hướng yếu dần của thể chế</w:t>
      </w:r>
      <w:r>
        <w:t xml:space="preserve">: doanh nghiệp ở phân vị 90 năng suất gấp doanh nghiệp ở phân vị 10 khoảng</w:t>
      </w:r>
      <w:r>
        <w:t xml:space="preserve"> </w:t>
      </w:r>
      <w:r>
        <w:rPr>
          <w:bCs/>
          <w:b/>
        </w:rPr>
        <w:t xml:space="preserve">12 lần</w:t>
      </w:r>
      <w:r>
        <w:t xml:space="preserve"> </w:t>
      </w:r>
      <w:r>
        <w:t xml:space="preserve">tại Nhóm I, nhưng</w:t>
      </w:r>
      <w:r>
        <w:t xml:space="preserve"> </w:t>
      </w:r>
      <w:r>
        <w:rPr>
          <w:bCs/>
          <w:b/>
        </w:rPr>
        <w:t xml:space="preserve">25–30 lần</w:t>
      </w:r>
      <w:r>
        <w:t xml:space="preserve"> </w:t>
      </w:r>
      <w:r>
        <w:t xml:space="preserve">tại Nhóm III–V, nhất quán với giả thuyết phân bổ sai nguồn lực (Hsieh &amp; Klenow, 2009, 2014), với lưu ý sd log năng suất lao động là proxy gián tiếp cho phân tán TFPR nên đây là bằng chứng mô tả phù hợp, không phải phân rã trực tiếp. (2)</w:t>
      </w:r>
      <w:r>
        <w:t xml:space="preserve"> </w:t>
      </w:r>
      <w:r>
        <w:rPr>
          <w:bCs/>
          <w:b/>
        </w:rPr>
        <w:t xml:space="preserve">So sánh mức giữa các nền kinh tế</w:t>
      </w:r>
      <w:r>
        <w:t xml:space="preserve"> </w:t>
      </w:r>
      <w:r>
        <w:t xml:space="preserve">dùng chỉ số không thứ nguyên</w:t>
      </w:r>
      <w:r>
        <w:t xml:space="preserve"> </w:t>
      </w:r>
      <w:r>
        <w:rPr>
          <w:bCs/>
          <w:b/>
        </w:rPr>
        <w:t xml:space="preserve">ROS</w:t>
      </w:r>
      <w:r>
        <w:t xml:space="preserve"> </w:t>
      </w:r>
      <w:r>
        <w:t xml:space="preserve">(tỷ suất sinh lời trên doanh thu, tính trên khung ước lượng của luận án): ROS trung vị giảm từ</w:t>
      </w:r>
      <w:r>
        <w:t xml:space="preserve"> </w:t>
      </w:r>
      <w:r>
        <w:rPr>
          <w:bCs/>
          <w:b/>
        </w:rPr>
        <w:t xml:space="preserve">0,50 (Nhóm I) rồi 0,45 (III) rồi 0,35 (IV)</w:t>
      </w:r>
      <w:r>
        <w:t xml:space="preserve">; Nhóm V–VI có giá trị ngoại lai mạnh nên chỉ đọc trung vị (V≈0,41; VI≈0,47), thể chế yếu đi kèm biên lợi nhuận mỏng hơn, nhất quán với Lý thuyết thể chế (chi phí giao dịch cao bào mòn biên). (3) Suy diễn về</w:t>
      </w:r>
      <w:r>
        <w:t xml:space="preserve"> </w:t>
      </w:r>
      <w:r>
        <w:rPr>
          <w:bCs/>
          <w:b/>
        </w:rPr>
        <w:t xml:space="preserve">điều tiết thể chế</w:t>
      </w:r>
      <w:r>
        <w:t xml:space="preserve"> </w:t>
      </w:r>
      <w:r>
        <w:t xml:space="preserve">trong quan hệ quốc tế hóa – hiệu quả được neo vào bằng chứng suy diễn ở phân tích tổng hợp của luận án (</w:t>
      </w:r>
      <m:oMath>
        <m:sSub>
          <m:e>
            <m:r>
              <m:t>Q</m:t>
            </m:r>
          </m:e>
          <m:sub>
            <m:r>
              <m:t>M</m:t>
            </m:r>
          </m:sub>
        </m:sSub>
        <m:r>
          <m:rPr>
            <m:sty m:val="p"/>
          </m:rPr>
          <m:t>=</m:t>
        </m:r>
        <m:r>
          <m:t>17</m:t>
        </m:r>
        <m:r>
          <m:rPr>
            <m:sty m:val="p"/>
          </m:rPr>
          <m:t>,</m:t>
        </m:r>
        <m:r>
          <m:t>35</m:t>
        </m:r>
      </m:oMath>
      <w:r>
        <w:t xml:space="preserve">) và phổ điểm uốn xuyên nhóm ICRV của nghiên cứu đa quốc gia (P7), chứ không chỉ vào thống kê mô tả.</w:t>
      </w:r>
    </w:p>
    <w:bookmarkEnd w:id="58"/>
    <w:bookmarkStart w:id="59"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 (icrv_label)</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I, Adv. đổi mới</w:t>
            </w:r>
          </w:p>
        </w:tc>
        <w:tc>
          <w:tcPr/>
          <w:p>
            <w:pPr>
              <w:pStyle w:val="Compact"/>
              <w:jc w:val="left"/>
            </w:pPr>
            <w:r>
              <w:t xml:space="preserve">10,3</w:t>
            </w:r>
          </w:p>
        </w:tc>
        <w:tc>
          <w:tcPr/>
          <w:p>
            <w:pPr>
              <w:pStyle w:val="Compact"/>
              <w:jc w:val="left"/>
            </w:pPr>
            <w:r>
              <w:t xml:space="preserve">24,5</w:t>
            </w:r>
          </w:p>
        </w:tc>
        <w:tc>
          <w:tcPr/>
          <w:p>
            <w:pPr>
              <w:pStyle w:val="Compact"/>
              <w:jc w:val="left"/>
            </w:pPr>
            <w:r>
              <w:t xml:space="preserve">2,4</w:t>
            </w:r>
          </w:p>
        </w:tc>
      </w:tr>
      <w:tr>
        <w:tc>
          <w:tcPr/>
          <w:p>
            <w:pPr>
              <w:pStyle w:val="Compact"/>
              <w:jc w:val="left"/>
            </w:pPr>
            <w:r>
              <w:t xml:space="preserve">II, Adv. tài nguyên¹</w:t>
            </w:r>
          </w:p>
        </w:tc>
        <w:tc>
          <w:tcPr/>
          <w:p>
            <w:pPr>
              <w:pStyle w:val="Compact"/>
              <w:jc w:val="left"/>
            </w:pPr>
            <w:r>
              <w:t xml:space="preserve">3,9</w:t>
            </w:r>
          </w:p>
        </w:tc>
        <w:tc>
          <w:tcPr/>
          <w:p>
            <w:pPr>
              <w:pStyle w:val="Compact"/>
              <w:jc w:val="left"/>
            </w:pPr>
            <w:r>
              <w:t xml:space="preserve">11,7</w:t>
            </w:r>
          </w:p>
        </w:tc>
        <w:tc>
          <w:tcPr/>
          <w:p>
            <w:pPr>
              <w:pStyle w:val="Compact"/>
              <w:jc w:val="left"/>
            </w:pPr>
            <w:r>
              <w:t xml:space="preserve">3,7</w:t>
            </w:r>
          </w:p>
        </w:tc>
      </w:tr>
      <w:tr>
        <w:tc>
          <w:tcPr/>
          <w:p>
            <w:pPr>
              <w:pStyle w:val="Compact"/>
              <w:jc w:val="left"/>
            </w:pPr>
            <w:r>
              <w:t xml:space="preserve">III, Trung bình cao</w:t>
            </w:r>
          </w:p>
        </w:tc>
        <w:tc>
          <w:tcPr/>
          <w:p>
            <w:pPr>
              <w:pStyle w:val="Compact"/>
              <w:jc w:val="left"/>
            </w:pPr>
            <w:r>
              <w:t xml:space="preserve">10,2</w:t>
            </w:r>
          </w:p>
        </w:tc>
        <w:tc>
          <w:tcPr/>
          <w:p>
            <w:pPr>
              <w:pStyle w:val="Compact"/>
              <w:jc w:val="left"/>
            </w:pPr>
            <w:r>
              <w:t xml:space="preserve">21,3</w:t>
            </w:r>
          </w:p>
        </w:tc>
        <w:tc>
          <w:tcPr/>
          <w:p>
            <w:pPr>
              <w:pStyle w:val="Compact"/>
              <w:jc w:val="left"/>
            </w:pPr>
            <w:r>
              <w:t xml:space="preserve">3,8</w:t>
            </w:r>
          </w:p>
        </w:tc>
      </w:tr>
      <w:tr>
        <w:tc>
          <w:tcPr/>
          <w:p>
            <w:pPr>
              <w:pStyle w:val="Compact"/>
              <w:jc w:val="left"/>
            </w:pPr>
            <w:r>
              <w:t xml:space="preserve">IV, Chuyển đổi TB-thấp</w:t>
            </w:r>
          </w:p>
        </w:tc>
        <w:tc>
          <w:tcPr/>
          <w:p>
            <w:pPr>
              <w:pStyle w:val="Compact"/>
              <w:jc w:val="left"/>
            </w:pPr>
            <w:r>
              <w:t xml:space="preserve">8,1</w:t>
            </w:r>
          </w:p>
        </w:tc>
        <w:tc>
          <w:tcPr/>
          <w:p>
            <w:pPr>
              <w:pStyle w:val="Compact"/>
              <w:jc w:val="left"/>
            </w:pPr>
            <w:r>
              <w:t xml:space="preserve">14,3</w:t>
            </w:r>
          </w:p>
        </w:tc>
        <w:tc>
          <w:tcPr/>
          <w:p>
            <w:pPr>
              <w:pStyle w:val="Compact"/>
              <w:jc w:val="left"/>
            </w:pPr>
            <w:r>
              <w:t xml:space="preserve">2,8</w:t>
            </w:r>
          </w:p>
        </w:tc>
      </w:tr>
      <w:tr>
        <w:tc>
          <w:tcPr/>
          <w:p>
            <w:pPr>
              <w:pStyle w:val="Compact"/>
              <w:jc w:val="left"/>
            </w:pPr>
            <w:r>
              <w:t xml:space="preserve">V, Đang nổi</w:t>
            </w:r>
          </w:p>
        </w:tc>
        <w:tc>
          <w:tcPr/>
          <w:p>
            <w:pPr>
              <w:pStyle w:val="Compact"/>
              <w:jc w:val="left"/>
            </w:pPr>
            <w:r>
              <w:t xml:space="preserve">10,6</w:t>
            </w:r>
          </w:p>
        </w:tc>
        <w:tc>
          <w:tcPr/>
          <w:p>
            <w:pPr>
              <w:pStyle w:val="Compact"/>
              <w:jc w:val="left"/>
            </w:pPr>
            <w:r>
              <w:t xml:space="preserve">18,8</w:t>
            </w:r>
          </w:p>
        </w:tc>
        <w:tc>
          <w:tcPr/>
          <w:p>
            <w:pPr>
              <w:pStyle w:val="Compact"/>
              <w:jc w:val="left"/>
            </w:pPr>
            <w:r>
              <w:t xml:space="preserve">4,5</w:t>
            </w:r>
          </w:p>
        </w:tc>
      </w:tr>
      <w:tr>
        <w:tc>
          <w:tcPr/>
          <w:p>
            <w:pPr>
              <w:pStyle w:val="Compact"/>
              <w:jc w:val="left"/>
            </w:pPr>
            <w:r>
              <w:t xml:space="preserve">VI, SIDS²</w:t>
            </w:r>
          </w:p>
        </w:tc>
        <w:tc>
          <w:tcPr/>
          <w:p>
            <w:pPr>
              <w:pStyle w:val="Compact"/>
              <w:jc w:val="left"/>
            </w:pPr>
            <w:r>
              <w:t xml:space="preserve">6,7</w:t>
            </w:r>
          </w:p>
        </w:tc>
        <w:tc>
          <w:tcPr/>
          <w:p>
            <w:pPr>
              <w:pStyle w:val="Compact"/>
              <w:jc w:val="left"/>
            </w:pPr>
            <w:r>
              <w:t xml:space="preserve">14,7</w:t>
            </w:r>
          </w:p>
        </w:tc>
        <w:tc>
          <w:tcPr/>
          <w:p>
            <w:pPr>
              <w:pStyle w:val="Compact"/>
              <w:jc w:val="left"/>
            </w:pPr>
            <w:r>
              <w:t xml:space="preserve">5,3</w:t>
            </w:r>
          </w:p>
        </w:tc>
      </w:tr>
    </w:tbl>
    <w:p>
      <w:pPr>
        <w:pStyle w:val="BodyText"/>
      </w:pPr>
      <w:r>
        <w:rPr>
          <w:iCs/>
          <w:i/>
        </w:rPr>
        <w:t xml:space="preserve">Nguồn: tính từ dữ liệu vi mô WBES trên mẫu gộp mô tả 50 nền (FSTS = d3b + d3c; CAGR việc làm từ l1/l2 trên 3 năm tài khóa). ¹Nhóm II: đủ 6/6 nền GCC (Bahrain, Brunei, Kuwait, Oman, Qatar, Saudi Arabia). ²Nhóm VI: đủ 8/8 nền (7 Pacific + Timor-Leste; n=1.916, LP-valid).</w:t>
      </w:r>
    </w:p>
    <w:p>
      <w:pPr>
        <w:pStyle w:val="BodyText"/>
      </w:pPr>
      <w:r>
        <w:t xml:space="preserve">Trung vị FSTS bằng 0%, phân phối phân cực mạnh với chỉ khoảng 12–28% doanh nghiệp tham gia xuất khẩu tùy theo nhóm (cao nhất ở Nhóm I, thấp nhất ở Nhóm II). SIDS có tốc độ tăng trưởng việc làm hàng năm kép cao nhất (5,3%), phản ánh quy mô nhỏ và tăng trưởng từ nền thấp. Nhóm I và V có FSTS trung bình cao nhất (10,3% và 10,6%) nhưng cơ chế xuất khẩu khác nhau: Nhóm I chủ yếu dịch vụ và hàng hóa hàm lượng tri thức cao; các nhóm III–V chủ yếu sản xuất theo chuỗi giá trị toàn cầu.</w:t>
      </w:r>
    </w:p>
    <w:p>
      <w:r>
        <w:pict>
          <v:rect style="width:0;height:1.5pt" o:hralign="center" o:hrstd="t" o:hr="t"/>
        </w:pict>
      </w:r>
    </w:p>
    <w:bookmarkEnd w:id="59"/>
    <w:bookmarkEnd w:id="60"/>
    <w:bookmarkStart w:id="64" w:name="đổi-mới-sáng-tạo-và-năng-lực-số-hóa"/>
    <w:p>
      <w:pPr>
        <w:pStyle w:val="Heading3"/>
      </w:pPr>
      <w:r>
        <w:t xml:space="preserve">2.3.4 Đổi mới sáng tạo và năng lực số hóa</w:t>
      </w:r>
    </w:p>
    <w:bookmarkStart w:id="61"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61"/>
    <w:bookmarkStart w:id="62"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 (icrv_label)</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I, Adv. đổi mới</w:t>
            </w:r>
          </w:p>
        </w:tc>
        <w:tc>
          <w:tcPr/>
          <w:p>
            <w:pPr>
              <w:pStyle w:val="Compact"/>
              <w:jc w:val="left"/>
            </w:pPr>
            <w:r>
              <w:t xml:space="preserve">26,9</w:t>
            </w:r>
          </w:p>
        </w:tc>
        <w:tc>
          <w:tcPr/>
          <w:p>
            <w:pPr>
              <w:pStyle w:val="Compact"/>
              <w:jc w:val="left"/>
            </w:pPr>
            <w:r>
              <w:t xml:space="preserve">18,8</w:t>
            </w:r>
          </w:p>
        </w:tc>
        <w:tc>
          <w:tcPr/>
          <w:p>
            <w:pPr>
              <w:pStyle w:val="Compact"/>
              <w:jc w:val="left"/>
            </w:pPr>
            <w:r>
              <w:rPr>
                <w:bCs/>
                <w:b/>
              </w:rPr>
              <w:t xml:space="preserve">21,0</w:t>
            </w:r>
          </w:p>
        </w:tc>
        <w:tc>
          <w:tcPr/>
          <w:p>
            <w:pPr>
              <w:pStyle w:val="Compact"/>
              <w:jc w:val="left"/>
            </w:pPr>
            <w:r>
              <w:t xml:space="preserve">32,5</w:t>
            </w:r>
          </w:p>
        </w:tc>
        <w:tc>
          <w:tcPr/>
          <w:p>
            <w:pPr>
              <w:pStyle w:val="Compact"/>
              <w:jc w:val="left"/>
            </w:pPr>
            <w:r>
              <w:rPr>
                <w:bCs/>
                <w:b/>
              </w:rPr>
              <w:t xml:space="preserve">69,2</w:t>
            </w:r>
          </w:p>
        </w:tc>
      </w:tr>
      <w:tr>
        <w:tc>
          <w:tcPr/>
          <w:p>
            <w:pPr>
              <w:pStyle w:val="Compact"/>
              <w:jc w:val="left"/>
            </w:pPr>
            <w:r>
              <w:t xml:space="preserve">II, Adv. tài nguyên¹</w:t>
            </w:r>
          </w:p>
        </w:tc>
        <w:tc>
          <w:tcPr/>
          <w:p>
            <w:pPr>
              <w:pStyle w:val="Compact"/>
              <w:jc w:val="left"/>
            </w:pPr>
            <w:r>
              <w:t xml:space="preserve">17,0</w:t>
            </w:r>
          </w:p>
        </w:tc>
        <w:tc>
          <w:tcPr/>
          <w:p>
            <w:pPr>
              <w:pStyle w:val="Compact"/>
              <w:jc w:val="left"/>
            </w:pPr>
            <w:r>
              <w:t xml:space="preserve">8,6</w:t>
            </w:r>
          </w:p>
        </w:tc>
        <w:tc>
          <w:tcPr/>
          <w:p>
            <w:pPr>
              <w:pStyle w:val="Compact"/>
              <w:jc w:val="left"/>
            </w:pPr>
            <w:r>
              <w:t xml:space="preserve">7,0</w:t>
            </w:r>
          </w:p>
        </w:tc>
        <w:tc>
          <w:tcPr/>
          <w:p>
            <w:pPr>
              <w:pStyle w:val="Compact"/>
              <w:jc w:val="left"/>
            </w:pPr>
            <w:r>
              <w:t xml:space="preserve">15,2</w:t>
            </w:r>
          </w:p>
        </w:tc>
        <w:tc>
          <w:tcPr/>
          <w:p>
            <w:pPr>
              <w:pStyle w:val="Compact"/>
              <w:jc w:val="left"/>
            </w:pPr>
            <w:r>
              <w:t xml:space="preserve">50,2</w:t>
            </w:r>
          </w:p>
        </w:tc>
      </w:tr>
      <w:tr>
        <w:tc>
          <w:tcPr/>
          <w:p>
            <w:pPr>
              <w:pStyle w:val="Compact"/>
              <w:jc w:val="left"/>
            </w:pPr>
            <w:r>
              <w:t xml:space="preserve">III, Trung bình cao</w:t>
            </w:r>
          </w:p>
        </w:tc>
        <w:tc>
          <w:tcPr/>
          <w:p>
            <w:pPr>
              <w:pStyle w:val="Compact"/>
              <w:jc w:val="left"/>
            </w:pPr>
            <w:r>
              <w:t xml:space="preserve">26,7</w:t>
            </w:r>
          </w:p>
        </w:tc>
        <w:tc>
          <w:tcPr/>
          <w:p>
            <w:pPr>
              <w:pStyle w:val="Compact"/>
              <w:jc w:val="left"/>
            </w:pPr>
            <w:r>
              <w:t xml:space="preserve">18,9</w:t>
            </w:r>
          </w:p>
        </w:tc>
        <w:tc>
          <w:tcPr/>
          <w:p>
            <w:pPr>
              <w:pStyle w:val="Compact"/>
              <w:jc w:val="left"/>
            </w:pPr>
            <w:r>
              <w:t xml:space="preserve">21,5</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IV, Chuyển đổi TB-thấp</w:t>
            </w:r>
          </w:p>
        </w:tc>
        <w:tc>
          <w:tcPr/>
          <w:p>
            <w:pPr>
              <w:pStyle w:val="Compact"/>
              <w:jc w:val="left"/>
            </w:pPr>
            <w:r>
              <w:t xml:space="preserve">17,1</w:t>
            </w:r>
          </w:p>
        </w:tc>
        <w:tc>
          <w:tcPr/>
          <w:p>
            <w:pPr>
              <w:pStyle w:val="Compact"/>
              <w:jc w:val="left"/>
            </w:pPr>
            <w:r>
              <w:t xml:space="preserve">14,7</w:t>
            </w:r>
          </w:p>
        </w:tc>
        <w:tc>
          <w:tcPr/>
          <w:p>
            <w:pPr>
              <w:pStyle w:val="Compact"/>
              <w:jc w:val="left"/>
            </w:pPr>
            <w:r>
              <w:t xml:space="preserve">15,5</w:t>
            </w:r>
          </w:p>
        </w:tc>
        <w:tc>
          <w:tcPr/>
          <w:p>
            <w:pPr>
              <w:pStyle w:val="Compact"/>
              <w:jc w:val="left"/>
            </w:pPr>
            <w:r>
              <w:t xml:space="preserve">25,3</w:t>
            </w:r>
          </w:p>
        </w:tc>
        <w:tc>
          <w:tcPr/>
          <w:p>
            <w:pPr>
              <w:pStyle w:val="Compact"/>
              <w:jc w:val="left"/>
            </w:pPr>
            <w:r>
              <w:t xml:space="preserve">48,3</w:t>
            </w:r>
          </w:p>
        </w:tc>
      </w:tr>
      <w:tr>
        <w:tc>
          <w:tcPr/>
          <w:p>
            <w:pPr>
              <w:pStyle w:val="Compact"/>
              <w:jc w:val="left"/>
            </w:pPr>
            <w:r>
              <w:t xml:space="preserve">V, Đang nổi</w:t>
            </w:r>
          </w:p>
        </w:tc>
        <w:tc>
          <w:tcPr/>
          <w:p>
            <w:pPr>
              <w:pStyle w:val="Compact"/>
              <w:jc w:val="left"/>
            </w:pPr>
            <w:r>
              <w:t xml:space="preserve">24,0</w:t>
            </w:r>
          </w:p>
        </w:tc>
        <w:tc>
          <w:tcPr/>
          <w:p>
            <w:pPr>
              <w:pStyle w:val="Compact"/>
              <w:jc w:val="left"/>
            </w:pPr>
            <w:r>
              <w:t xml:space="preserve">15,9</w:t>
            </w:r>
          </w:p>
        </w:tc>
        <w:tc>
          <w:tcPr/>
          <w:p>
            <w:pPr>
              <w:pStyle w:val="Compact"/>
              <w:jc w:val="left"/>
            </w:pPr>
            <w:r>
              <w:t xml:space="preserve">17,6</w:t>
            </w:r>
          </w:p>
        </w:tc>
        <w:tc>
          <w:tcPr/>
          <w:p>
            <w:pPr>
              <w:pStyle w:val="Compact"/>
              <w:jc w:val="left"/>
            </w:pPr>
            <w:r>
              <w:t xml:space="preserve">13,0</w:t>
            </w:r>
          </w:p>
        </w:tc>
        <w:tc>
          <w:tcPr/>
          <w:p>
            <w:pPr>
              <w:pStyle w:val="Compact"/>
              <w:jc w:val="left"/>
            </w:pPr>
            <w:r>
              <w:t xml:space="preserve">40,6</w:t>
            </w:r>
          </w:p>
        </w:tc>
      </w:tr>
      <w:tr>
        <w:tc>
          <w:tcPr/>
          <w:p>
            <w:pPr>
              <w:pStyle w:val="Compact"/>
              <w:jc w:val="left"/>
            </w:pPr>
            <w:r>
              <w:t xml:space="preserve">VI, SIDS²</w:t>
            </w:r>
          </w:p>
        </w:tc>
        <w:tc>
          <w:tcPr/>
          <w:p>
            <w:pPr>
              <w:pStyle w:val="Compact"/>
              <w:jc w:val="left"/>
            </w:pPr>
            <w:r>
              <w:rPr>
                <w:bCs/>
                <w:b/>
              </w:rPr>
              <w:t xml:space="preserve">34,2</w:t>
            </w:r>
          </w:p>
        </w:tc>
        <w:tc>
          <w:tcPr/>
          <w:p>
            <w:pPr>
              <w:pStyle w:val="Compact"/>
              <w:jc w:val="left"/>
            </w:pPr>
            <w:r>
              <w:rPr>
                <w:bCs/>
                <w:b/>
              </w:rPr>
              <w:t xml:space="preserve">24,7</w:t>
            </w:r>
          </w:p>
        </w:tc>
        <w:tc>
          <w:tcPr/>
          <w:p>
            <w:pPr>
              <w:pStyle w:val="Compact"/>
              <w:jc w:val="left"/>
            </w:pPr>
            <w:r>
              <w:t xml:space="preserve">10,2</w:t>
            </w:r>
          </w:p>
        </w:tc>
        <w:tc>
          <w:tcPr/>
          <w:p>
            <w:pPr>
              <w:pStyle w:val="Compact"/>
              <w:jc w:val="left"/>
            </w:pPr>
            <w:r>
              <w:t xml:space="preserve">12,2</w:t>
            </w:r>
          </w:p>
        </w:tc>
        <w:tc>
          <w:tcPr/>
          <w:p>
            <w:pPr>
              <w:pStyle w:val="Compact"/>
              <w:jc w:val="left"/>
            </w:pPr>
            <w:r>
              <w:t xml:space="preserve">41,5</w:t>
            </w:r>
          </w:p>
        </w:tc>
      </w:tr>
    </w:tbl>
    <w:p>
      <w:pPr>
        <w:pStyle w:val="BodyText"/>
      </w:pPr>
      <w:r>
        <w:rPr>
          <w:iCs/>
          <w:i/>
        </w:rPr>
        <w:t xml:space="preserve">Nguồn: tái lập từ dữ liệu vi mô WBES trên khung mô tả LP-valid 50 nền (canonical; biến h1/h5/h8/b8/c22b; mã 1=có, 2=không; mã âm = thiếu). ¹Nhóm II: đủ 6/6 nền GCC, đặc trưng dầu mỏ: R&amp;D thấp (7,0%), nữ quản lý cấp cao rất thấp (4,6%), website 50,2%. ²Nhóm VI: đủ 8/8 nền, đổi mới sản phẩm cao nhất mọi nhóm (34,2%) và website 41,5%: khuôn mẫu</w:t>
      </w:r>
      <w:r>
        <w:rPr>
          <w:iCs/>
          <w:i/>
        </w:rPr>
        <w:t xml:space="preserve"> </w:t>
      </w:r>
      <w:r>
        <w:rPr>
          <w:iCs/>
          <w:i/>
        </w:rPr>
        <w:t xml:space="preserve">“</w:t>
      </w:r>
      <w:r>
        <w:rPr>
          <w:iCs/>
          <w:i/>
        </w:rPr>
        <w:t xml:space="preserve">thích nghi và nhảy vọt số</w:t>
      </w:r>
      <w:r>
        <w:rPr>
          <w:iCs/>
          <w:i/>
        </w:rPr>
        <w:t xml:space="preserve">”</w:t>
      </w:r>
      <w:r>
        <w:rPr>
          <w:iCs/>
          <w:i/>
        </w:rPr>
        <w:t xml:space="preserve"> </w:t>
      </w:r>
      <w:r>
        <w:rPr>
          <w:iCs/>
          <w:i/>
        </w:rPr>
        <w:t xml:space="preserve">của SIDS.</w:t>
      </w:r>
    </w:p>
    <w:p>
      <w:pPr>
        <w:pStyle w:val="BodyText"/>
      </w:pPr>
      <w:r>
        <w:t xml:space="preserve">Với dữ liệu đầy đủ 8/8 nền Nhóm VI, SIDS thể hiện khuôn mẫu</w:t>
      </w:r>
      <w:r>
        <w:t xml:space="preserve"> </w:t>
      </w:r>
      <w:r>
        <w:rPr>
          <w:bCs/>
          <w:b/>
        </w:rPr>
        <w:t xml:space="preserve">thích nghi và nhảy vọt số</w:t>
      </w:r>
      <w:r>
        <w:t xml:space="preserve"> </w:t>
      </w:r>
      <w:r>
        <w:t xml:space="preserve">rõ nét: tỷ lệ đổi mới sản phẩm</w:t>
      </w:r>
      <w:r>
        <w:t xml:space="preserve"> </w:t>
      </w:r>
      <w:r>
        <w:rPr>
          <w:bCs/>
          <w:b/>
        </w:rPr>
        <w:t xml:space="preserve">cao nhất mọi nhóm (34,2%)</w:t>
      </w:r>
      <w:r>
        <w:t xml:space="preserve"> </w:t>
      </w:r>
      <w:r>
        <w:t xml:space="preserve">phản ánh đổi mới bằng nguồn lực hạn chế, sáng tạo không chính thức bù đắp thiếu hụt nguồn lực; website 41,5% ngang nhóm Đang nổi dù GNI thấp hơn đáng kể. Phổ năng lực thể chế vẫn rõ ở các biến nền tảng: R&amp;D giảm từ 21,0% (Nhóm I) xuống 10,2% (Nhóm VI); ISO 32,5% rồi 12,2%; website 69,2% rồi 41,5%. Phân tách rõ TCI so với DAI, kế thừa Đỗ &amp; Phan (2026, VEFR).</w:t>
      </w:r>
    </w:p>
    <w:bookmarkEnd w:id="62"/>
    <w:bookmarkStart w:id="63" w:name="Xaa05f2cc69387f8da77f0f5da9ec0329380f0a1"/>
    <w:p>
      <w:pPr>
        <w:pStyle w:val="Heading4"/>
      </w:pPr>
      <w:r>
        <w:t xml:space="preserve">2.3.4.3 Tái định hình Chỉ số áp dụng số: Bậc 1 Sự hiện diện số cơ bản</w:t>
      </w:r>
    </w:p>
    <w:p>
      <w:pPr>
        <w:pStyle w:val="FirstParagraph"/>
      </w:pPr>
      <w:r>
        <w:t xml:space="preserve">Spec 1 (toàn bộ 2006–2026) dùng biến nhị phân duy nhất (website có/không).</w:t>
      </w:r>
      <w:r>
        <w:t xml:space="preserve"> </w:t>
      </w:r>
      <w:r>
        <w:rPr>
          <w:bCs/>
          <w:b/>
        </w:rPr>
        <w:t xml:space="preserve">Hệ quả phân tích đáng chú ý</w:t>
      </w:r>
      <w:r>
        <w:t xml:space="preserve">: phần bù tương quan DAI ở Nhóm I là thấp nhất trong sáu nhóm (+0,093, Bảng 2.3.8.1), trong khi tỷ lệ có website ở nhóm này đã đạt 69,2%. Khi một chỉ báo nhị phân tiệm cận bão hòa, nó mất dần khả năng phân biệt năng suất: phương sai của biến co lại và phần doanh nghiệp</w:t>
      </w:r>
      <w:r>
        <w:t xml:space="preserve"> </w:t>
      </w:r>
      <w:r>
        <w:t xml:space="preserve">“</w:t>
      </w:r>
      <w:r>
        <w:t xml:space="preserve">không website</w:t>
      </w:r>
      <w:r>
        <w:t xml:space="preserve">”</w:t>
      </w:r>
      <w:r>
        <w:t xml:space="preserve"> </w:t>
      </w:r>
      <w:r>
        <w:t xml:space="preserve">còn lại ngày càng mang tính chọn lọc đặc thù (quy mô siêu nhỏ, ngành không cần hiện diện web), nên hệ số đo được phản ánh</w:t>
      </w:r>
      <w:r>
        <w:t xml:space="preserve"> </w:t>
      </w:r>
      <w:r>
        <w:rPr>
          <w:bCs/>
          <w:b/>
        </w:rPr>
        <w:t xml:space="preserve">giới hạn của thước đo Bậc 1</w:t>
      </w:r>
      <w:r>
        <w:t xml:space="preserve"> </w:t>
      </w:r>
      <w:r>
        <w:t xml:space="preserve">nhiều hơn là giới hạn của số hóa.</w:t>
      </w:r>
    </w:p>
    <w:p>
      <w:pPr>
        <w:pStyle w:val="BodyText"/>
      </w:pPr>
      <w:r>
        <w:rPr>
          <w:bCs/>
          <w:b/>
        </w:rPr>
        <w:t xml:space="preserve">Kiểm định loại trừ ICT (đề xuất cho Chuyên đề 2)</w:t>
      </w:r>
      <w:r>
        <w:t xml:space="preserve">: so sánh hệ số DAI của phân nhóm Advanced trước và sau khi loại các doanh nghiệp ICT (ISIC J 58–63, nơi website là điều kiện tồn tại, không phải lựa chọn đầu tư) sẽ tách được phần</w:t>
      </w:r>
      <w:r>
        <w:t xml:space="preserve"> </w:t>
      </w:r>
      <w:r>
        <w:t xml:space="preserve">“</w:t>
      </w:r>
      <w:r>
        <w:t xml:space="preserve">bão hòa thước đo</w:t>
      </w:r>
      <w:r>
        <w:t xml:space="preserve">”</w:t>
      </w:r>
      <w:r>
        <w:t xml:space="preserve"> </w:t>
      </w:r>
      <w:r>
        <w:t xml:space="preserve">khỏi phần bù số thực. Theo logic đó, biến Spec 1 được đặt tên chính xác là</w:t>
      </w:r>
      <w:r>
        <w:t xml:space="preserve"> </w:t>
      </w:r>
      <w:r>
        <w:rPr>
          <w:bCs/>
          <w:b/>
        </w:rPr>
        <w:t xml:space="preserve">“</w:t>
      </w:r>
      <w:r>
        <w:rPr>
          <w:bCs/>
          <w:b/>
        </w:rPr>
        <w:t xml:space="preserve">Sự hiện diện số cơ bản (Bậc 1)</w:t>
      </w:r>
      <w:r>
        <w:rPr>
          <w:bCs/>
          <w:b/>
        </w:rPr>
        <w:t xml:space="preserve">”</w:t>
      </w:r>
      <w:r>
        <w:t xml:space="preserve">, phạm vi khiêm tốn và phản ánh đúng thực tế đo lường.</w:t>
      </w:r>
    </w:p>
    <w:p>
      <w:r>
        <w:pict>
          <v:rect style="width:0;height:1.5pt" o:hralign="center" o:hrstd="t" o:hr="t"/>
        </w:pict>
      </w:r>
    </w:p>
    <w:bookmarkEnd w:id="63"/>
    <w:bookmarkEnd w:id="64"/>
    <w:bookmarkStart w:id="70" w:name="cấu-trúc-doanh-nghiệp"/>
    <w:p>
      <w:pPr>
        <w:pStyle w:val="Heading3"/>
      </w:pPr>
      <w:r>
        <w:t xml:space="preserve">2.3.5 Cấu trúc doanh nghiệp</w:t>
      </w:r>
    </w:p>
    <w:bookmarkStart w:id="68"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 (icrv_label)</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w:t>
            </w:r>
            <w:r>
              <w:t xml:space="preserve"> </w:t>
            </w:r>
            <m:oMath>
              <m:r>
                <m:rPr>
                  <m:sty m:val="p"/>
                </m:rPr>
                <m:t>≥</m:t>
              </m:r>
            </m:oMath>
            <w:r>
              <w:t xml:space="preserve"> </w:t>
            </w:r>
            <w:r>
              <w:t xml:space="preserve">10%</w:t>
            </w:r>
          </w:p>
        </w:tc>
      </w:tr>
      <w:tr>
        <w:tc>
          <w:tcPr/>
          <w:p>
            <w:pPr>
              <w:pStyle w:val="Compact"/>
              <w:jc w:val="left"/>
            </w:pPr>
            <w:r>
              <w:t xml:space="preserve">I, Adv. đổi mới</w:t>
            </w:r>
          </w:p>
        </w:tc>
        <w:tc>
          <w:tcPr/>
          <w:p>
            <w:pPr>
              <w:pStyle w:val="Compact"/>
              <w:jc w:val="left"/>
            </w:pPr>
            <w:r>
              <w:t xml:space="preserve">76,9</w:t>
            </w:r>
          </w:p>
        </w:tc>
        <w:tc>
          <w:tcPr/>
          <w:p>
            <w:pPr>
              <w:pStyle w:val="Compact"/>
              <w:jc w:val="left"/>
            </w:pPr>
            <w:r>
              <w:t xml:space="preserve">24,5</w:t>
            </w:r>
          </w:p>
        </w:tc>
        <w:tc>
          <w:tcPr/>
          <w:p>
            <w:pPr>
              <w:pStyle w:val="Compact"/>
              <w:jc w:val="left"/>
            </w:pPr>
            <w:r>
              <w:t xml:space="preserve">7,7</w:t>
            </w:r>
          </w:p>
        </w:tc>
      </w:tr>
      <w:tr>
        <w:tc>
          <w:tcPr/>
          <w:p>
            <w:pPr>
              <w:pStyle w:val="Compact"/>
              <w:jc w:val="left"/>
            </w:pPr>
            <w:r>
              <w:t xml:space="preserve">II, Adv. tài nguyên¹</w:t>
            </w:r>
          </w:p>
        </w:tc>
        <w:tc>
          <w:tcPr/>
          <w:p>
            <w:pPr>
              <w:pStyle w:val="Compact"/>
              <w:jc w:val="left"/>
            </w:pPr>
            <w:r>
              <w:t xml:space="preserve">77,4</w:t>
            </w:r>
          </w:p>
        </w:tc>
        <w:tc>
          <w:tcPr/>
          <w:p>
            <w:pPr>
              <w:pStyle w:val="Compact"/>
              <w:jc w:val="left"/>
            </w:pPr>
            <w:r>
              <w:t xml:space="preserve">11,7</w:t>
            </w:r>
          </w:p>
        </w:tc>
        <w:tc>
          <w:tcPr/>
          <w:p>
            <w:pPr>
              <w:pStyle w:val="Compact"/>
              <w:jc w:val="left"/>
            </w:pPr>
            <w:r>
              <w:t xml:space="preserve">13,6</w:t>
            </w:r>
          </w:p>
        </w:tc>
      </w:tr>
      <w:tr>
        <w:tc>
          <w:tcPr/>
          <w:p>
            <w:pPr>
              <w:pStyle w:val="Compact"/>
              <w:jc w:val="left"/>
            </w:pPr>
            <w:r>
              <w:t xml:space="preserve">III, Trung bình cao</w:t>
            </w:r>
          </w:p>
        </w:tc>
        <w:tc>
          <w:tcPr/>
          <w:p>
            <w:pPr>
              <w:pStyle w:val="Compact"/>
              <w:jc w:val="left"/>
            </w:pPr>
            <w:r>
              <w:t xml:space="preserve">78,7</w:t>
            </w:r>
          </w:p>
        </w:tc>
        <w:tc>
          <w:tcPr/>
          <w:p>
            <w:pPr>
              <w:pStyle w:val="Compact"/>
              <w:jc w:val="left"/>
            </w:pPr>
            <w:r>
              <w:t xml:space="preserve">21,3</w:t>
            </w:r>
          </w:p>
        </w:tc>
        <w:tc>
          <w:tcPr/>
          <w:p>
            <w:pPr>
              <w:pStyle w:val="Compact"/>
              <w:jc w:val="left"/>
            </w:pPr>
            <w:r>
              <w:t xml:space="preserve">8,9</w:t>
            </w:r>
          </w:p>
        </w:tc>
      </w:tr>
      <w:tr>
        <w:tc>
          <w:tcPr/>
          <w:p>
            <w:pPr>
              <w:pStyle w:val="Compact"/>
              <w:jc w:val="left"/>
            </w:pPr>
            <w:r>
              <w:t xml:space="preserve">IV, Chuyển đổi TB-thấp</w:t>
            </w:r>
          </w:p>
        </w:tc>
        <w:tc>
          <w:tcPr/>
          <w:p>
            <w:pPr>
              <w:pStyle w:val="Compact"/>
              <w:jc w:val="left"/>
            </w:pPr>
            <w:r>
              <w:t xml:space="preserve">74,0</w:t>
            </w:r>
          </w:p>
        </w:tc>
        <w:tc>
          <w:tcPr/>
          <w:p>
            <w:pPr>
              <w:pStyle w:val="Compact"/>
              <w:jc w:val="left"/>
            </w:pPr>
            <w:r>
              <w:t xml:space="preserve">14,3</w:t>
            </w:r>
          </w:p>
        </w:tc>
        <w:tc>
          <w:tcPr/>
          <w:p>
            <w:pPr>
              <w:pStyle w:val="Compact"/>
              <w:jc w:val="left"/>
            </w:pPr>
            <w:r>
              <w:t xml:space="preserve">3,1</w:t>
            </w:r>
          </w:p>
        </w:tc>
      </w:tr>
      <w:tr>
        <w:tc>
          <w:tcPr/>
          <w:p>
            <w:pPr>
              <w:pStyle w:val="Compact"/>
              <w:jc w:val="left"/>
            </w:pPr>
            <w:r>
              <w:t xml:space="preserve">V, Đang nổi</w:t>
            </w:r>
          </w:p>
        </w:tc>
        <w:tc>
          <w:tcPr/>
          <w:p>
            <w:pPr>
              <w:pStyle w:val="Compact"/>
              <w:jc w:val="left"/>
            </w:pPr>
            <w:r>
              <w:t xml:space="preserve">86,0</w:t>
            </w:r>
          </w:p>
        </w:tc>
        <w:tc>
          <w:tcPr/>
          <w:p>
            <w:pPr>
              <w:pStyle w:val="Compact"/>
              <w:jc w:val="left"/>
            </w:pPr>
            <w:r>
              <w:t xml:space="preserve">18,8</w:t>
            </w:r>
          </w:p>
        </w:tc>
        <w:tc>
          <w:tcPr/>
          <w:p>
            <w:pPr>
              <w:pStyle w:val="Compact"/>
              <w:jc w:val="left"/>
            </w:pPr>
            <w:r>
              <w:t xml:space="preserve">7,1</w:t>
            </w:r>
          </w:p>
        </w:tc>
      </w:tr>
      <w:tr>
        <w:tc>
          <w:tcPr/>
          <w:p>
            <w:pPr>
              <w:pStyle w:val="Compact"/>
              <w:jc w:val="left"/>
            </w:pPr>
            <w:r>
              <w:t xml:space="preserve">VI, SIDS²</w:t>
            </w:r>
          </w:p>
        </w:tc>
        <w:tc>
          <w:tcPr/>
          <w:p>
            <w:pPr>
              <w:pStyle w:val="Compact"/>
              <w:jc w:val="left"/>
            </w:pPr>
            <w:r>
              <w:rPr>
                <w:bCs/>
                <w:b/>
              </w:rPr>
              <w:t xml:space="preserve">91,8</w:t>
            </w:r>
          </w:p>
        </w:tc>
        <w:tc>
          <w:tcPr/>
          <w:p>
            <w:pPr>
              <w:pStyle w:val="Compact"/>
              <w:jc w:val="left"/>
            </w:pPr>
            <w:r>
              <w:t xml:space="preserve">14,7</w:t>
            </w:r>
          </w:p>
        </w:tc>
        <w:tc>
          <w:tcPr/>
          <w:p>
            <w:pPr>
              <w:pStyle w:val="Compact"/>
              <w:jc w:val="left"/>
            </w:pPr>
            <w:r>
              <w:rPr>
                <w:bCs/>
                <w:b/>
              </w:rPr>
              <w:t xml:space="preserve">20,0</w:t>
            </w:r>
          </w:p>
        </w:tc>
      </w:tr>
    </w:tbl>
    <w:p>
      <w:pPr>
        <w:pStyle w:val="BodyText"/>
      </w:pPr>
      <w:r>
        <w:rPr>
          <w:iCs/>
          <w:i/>
        </w:rPr>
        <w:t xml:space="preserve">Nguồn: tính từ dữ liệu vi mô WBES trên mẫu gộp mô tả 50 nền (SME = &lt;100 lao động thường xuyên, biến l1; FDI = sở hữu nước ngoài ≥10%, biến b2b). ¹Nhóm II: đủ 6/6 nền GCC. ²Nhóm VI: đủ 8/8 nền, SME cao nhất (91,8%) và FDI cao (20,0%, do MNE du lịch/viễn thông).</w:t>
      </w:r>
    </w:p>
    <w:p>
      <w:pPr>
        <w:pStyle w:val="CaptionedFigure"/>
      </w:pPr>
      <w:r>
        <w:drawing>
          <wp:inline>
            <wp:extent cx="5753100" cy="3479196"/>
            <wp:effectExtent b="0" l="0" r="0" t="0"/>
            <wp:docPr descr="Hình 2.3.5.1. Cấu trúc doanh nghiệp theo nhóm ICRV." title="" id="66" name="Picture"/>
            <a:graphic>
              <a:graphicData uri="http://schemas.openxmlformats.org/drawingml/2006/picture">
                <pic:pic>
                  <pic:nvPicPr>
                    <pic:cNvPr descr="figures/hinh_2_3_5_1.png" id="67" name="Picture"/>
                    <pic:cNvPicPr>
                      <a:picLocks noChangeArrowheads="1" noChangeAspect="1"/>
                    </pic:cNvPicPr>
                  </pic:nvPicPr>
                  <pic:blipFill>
                    <a:blip r:embed="rId65"/>
                    <a:stretch>
                      <a:fillRect/>
                    </a:stretch>
                  </pic:blipFill>
                  <pic:spPr bwMode="auto">
                    <a:xfrm>
                      <a:off x="0" y="0"/>
                      <a:ext cx="5753100" cy="3479196"/>
                    </a:xfrm>
                    <a:prstGeom prst="rect">
                      <a:avLst/>
                    </a:prstGeom>
                    <a:noFill/>
                    <a:ln w="9525">
                      <a:noFill/>
                      <a:headEnd/>
                      <a:tailEnd/>
                    </a:ln>
                  </pic:spPr>
                </pic:pic>
              </a:graphicData>
            </a:graphic>
          </wp:inline>
        </w:drawing>
      </w:r>
    </w:p>
    <w:p>
      <w:pPr>
        <w:pStyle w:val="ImageCaption"/>
      </w:pPr>
      <w:r>
        <w:t xml:space="preserve">Hình 2.3.5.1. Cấu trúc doanh nghiệp theo nhóm ICRV.</w:t>
      </w:r>
    </w:p>
    <w:p>
      <w:pPr>
        <w:pStyle w:val="BodyText"/>
      </w:pPr>
      <w:r>
        <w:rPr>
          <w:iCs/>
          <w:i/>
        </w:rPr>
        <w:t xml:space="preserve">Hình 2.3.5.1. Biểu đồ thanh cấu trúc doanh nghiệp (SME, doanh nghiệp xuất khẩu, FDI ≥10%) theo nhóm ICRV (Bảng 2.3.5.1). Nhóm VI (SIDS, đủ 8/8 nền) có tỷ lệ SME cao nhất (91,8%), Nhóm V kế tiếp (86,0%), Nhóm IV thấp nhất (74,0%).</w:t>
      </w:r>
    </w:p>
    <w:p>
      <w:pPr>
        <w:pStyle w:val="BodyText"/>
      </w:pPr>
      <w:r>
        <w:t xml:space="preserve">Tỷ lệ FDI có dạng chữ U với cực tiểu ở Nhóm IV, Chuyển đổi TB-thấp (3,1%). SIDS có FDI cao (20,0%)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68"/>
    <w:bookmarkStart w:id="69"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Nhóm V–VI</w:t>
            </w:r>
          </w:p>
        </w:tc>
        <w:tc>
          <w:tcPr/>
          <w:p>
            <w:pPr>
              <w:pStyle w:val="Compact"/>
              <w:jc w:val="left"/>
            </w:pPr>
            <w:r>
              <w:t xml:space="preserve">Cường độ Nhóm III–IV</w:t>
            </w:r>
          </w:p>
        </w:tc>
        <w:tc>
          <w:tcPr/>
          <w:p>
            <w:pPr>
              <w:pStyle w:val="Compact"/>
              <w:jc w:val="left"/>
            </w:pPr>
            <w:r>
              <w:t xml:space="preserve">Cường độ Nhóm I–II</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khoảng trống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khoảng trống thể chế tại Nhóm V giải thích tại sao quan hệ quốc tế hóa – hiệu quả ở nhóm này yếu và không đơn điệu.</w:t>
      </w:r>
    </w:p>
    <w:p>
      <w:r>
        <w:pict>
          <v:rect style="width:0;height:1.5pt" o:hralign="center" o:hrstd="t" o:hr="t"/>
        </w:pict>
      </w:r>
    </w:p>
    <w:bookmarkEnd w:id="69"/>
    <w:bookmarkEnd w:id="70"/>
    <w:bookmarkStart w:id="82" w:name="biến-thiên-theo-thời-gian-20062026"/>
    <w:p>
      <w:pPr>
        <w:pStyle w:val="Heading3"/>
      </w:pPr>
      <w:r>
        <w:t xml:space="preserve">2.3.6 Biến thiên theo thời gian (2006–2026)</w:t>
      </w:r>
    </w:p>
    <w:bookmarkStart w:id="77"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các đợt 2018–2026 với các đợt 2006–2012 (gộp doanh nghiệp trong từng kỳ).</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w:t>
            </w:r>
          </w:p>
        </w:tc>
        <w:tc>
          <w:tcPr/>
          <w:p>
            <w:pPr>
              <w:pStyle w:val="Compact"/>
              <w:jc w:val="right"/>
            </w:pPr>
            <m:oMath>
              <m:r>
                <m:t>Δ</m:t>
              </m:r>
            </m:oMath>
            <w:r>
              <w:t xml:space="preserve"> </w:t>
            </w:r>
            <w:r>
              <w:t xml:space="preserve">Website</w:t>
            </w:r>
          </w:p>
        </w:tc>
        <w:tc>
          <w:tcPr/>
          <w:p>
            <w:pPr>
              <w:pStyle w:val="Compact"/>
              <w:jc w:val="right"/>
            </w:pPr>
            <m:oMath>
              <m:r>
                <m:t>Δ</m:t>
              </m:r>
            </m:oMath>
            <w:r>
              <w:t xml:space="preserve"> </w:t>
            </w:r>
            <w:r>
              <w:t xml:space="preserve">DN xuất khẩu</w:t>
            </w:r>
          </w:p>
        </w:tc>
        <w:tc>
          <w:tcPr/>
          <w:p>
            <w:pPr>
              <w:pStyle w:val="Compact"/>
              <w:jc w:val="right"/>
            </w:pPr>
            <m:oMath>
              <m:r>
                <m:t>Δ</m:t>
              </m:r>
            </m:oMath>
            <w:r>
              <w:t xml:space="preserve"> </w:t>
            </w:r>
            <w:r>
              <w:t xml:space="preserve">FDI</w:t>
            </w:r>
            <w:r>
              <w:t xml:space="preserve"> </w:t>
            </w:r>
            <m:oMath>
              <m:r>
                <m:rPr>
                  <m:sty m:val="p"/>
                </m:rPr>
                <m:t>≥</m:t>
              </m:r>
            </m:oMath>
            <w:r>
              <w:t xml:space="preserve"> </w:t>
            </w:r>
            <w:r>
              <w:t xml:space="preserve">10%</w:t>
            </w:r>
          </w:p>
        </w:tc>
        <w:tc>
          <w:tcPr/>
          <w:p>
            <w:pPr>
              <w:pStyle w:val="Compact"/>
              <w:jc w:val="right"/>
            </w:pPr>
            <m:oMath>
              <m:r>
                <m:t>Δ</m:t>
              </m:r>
            </m:oMath>
            <w:r>
              <w:t xml:space="preserve"> </w:t>
            </w:r>
            <w:r>
              <w:t xml:space="preserve">R&amp;D</w:t>
            </w:r>
          </w:p>
        </w:tc>
        <w:tc>
          <w:tcPr/>
          <w:p>
            <w:pPr>
              <w:pStyle w:val="Compact"/>
              <w:jc w:val="right"/>
            </w:pPr>
            <m:oMath>
              <m:r>
                <m:t>Δ</m:t>
              </m:r>
            </m:oMath>
            <w:r>
              <w:t xml:space="preserve"> </w:t>
            </w:r>
            <w:r>
              <w:t xml:space="preserve">ISO</w:t>
            </w:r>
          </w:p>
        </w:tc>
      </w:tr>
      <w:tr>
        <w:tc>
          <w:tcPr/>
          <w:p>
            <w:pPr>
              <w:pStyle w:val="Compact"/>
              <w:jc w:val="left"/>
            </w:pPr>
            <w:r>
              <w:t xml:space="preserve">III, Trung bình cao</w:t>
            </w:r>
          </w:p>
        </w:tc>
        <w:tc>
          <w:tcPr/>
          <w:p>
            <w:pPr>
              <w:pStyle w:val="Compact"/>
              <w:jc w:val="right"/>
            </w:pPr>
            <w:r>
              <w:t xml:space="preserve">+11,2</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–¹</w:t>
            </w:r>
          </w:p>
        </w:tc>
        <w:tc>
          <w:tcPr/>
          <w:p>
            <w:pPr>
              <w:pStyle w:val="Compact"/>
              <w:jc w:val="right"/>
            </w:pPr>
            <w:r>
              <w:t xml:space="preserve">+5,2</w:t>
            </w:r>
          </w:p>
        </w:tc>
      </w:tr>
      <w:tr>
        <w:tc>
          <w:tcPr/>
          <w:p>
            <w:pPr>
              <w:pStyle w:val="Compact"/>
              <w:jc w:val="left"/>
            </w:pPr>
            <w:r>
              <w:t xml:space="preserve">IV, Chuyển đổi TB-thấp</w:t>
            </w:r>
          </w:p>
        </w:tc>
        <w:tc>
          <w:tcPr/>
          <w:p>
            <w:pPr>
              <w:pStyle w:val="Compact"/>
              <w:jc w:val="right"/>
            </w:pPr>
            <w:r>
              <w:rPr>
                <w:bCs/>
                <w:b/>
              </w:rPr>
              <w:t xml:space="preserve">+20,6</w:t>
            </w:r>
          </w:p>
        </w:tc>
        <w:tc>
          <w:tcPr/>
          <w:p>
            <w:pPr>
              <w:pStyle w:val="Compact"/>
              <w:jc w:val="right"/>
            </w:pPr>
            <w:r>
              <w:rPr>
                <w:bCs/>
                <w:b/>
              </w:rPr>
              <w:t xml:space="preserve">−11,3</w:t>
            </w:r>
          </w:p>
        </w:tc>
        <w:tc>
          <w:tcPr/>
          <w:p>
            <w:pPr>
              <w:pStyle w:val="Compact"/>
              <w:jc w:val="right"/>
            </w:pPr>
            <w:r>
              <w:t xml:space="preserve">−6,7</w:t>
            </w:r>
          </w:p>
        </w:tc>
        <w:tc>
          <w:tcPr/>
          <w:p>
            <w:pPr>
              <w:pStyle w:val="Compact"/>
              <w:jc w:val="right"/>
            </w:pPr>
            <w:r>
              <w:t xml:space="preserve">–¹</w:t>
            </w:r>
          </w:p>
        </w:tc>
        <w:tc>
          <w:tcPr/>
          <w:p>
            <w:pPr>
              <w:pStyle w:val="Compact"/>
              <w:jc w:val="right"/>
            </w:pPr>
            <w:r>
              <w:t xml:space="preserve">+3,4</w:t>
            </w:r>
          </w:p>
        </w:tc>
      </w:tr>
      <w:tr>
        <w:tc>
          <w:tcPr/>
          <w:p>
            <w:pPr>
              <w:pStyle w:val="Compact"/>
              <w:jc w:val="left"/>
            </w:pPr>
            <w:r>
              <w:t xml:space="preserve">V, Đang nổi</w:t>
            </w:r>
          </w:p>
        </w:tc>
        <w:tc>
          <w:tcPr/>
          <w:p>
            <w:pPr>
              <w:pStyle w:val="Compact"/>
              <w:jc w:val="right"/>
            </w:pPr>
            <w:r>
              <w:rPr>
                <w:bCs/>
                <w:b/>
              </w:rPr>
              <w:t xml:space="preserve">+21,6</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−31,6²</w:t>
            </w:r>
          </w:p>
        </w:tc>
        <w:tc>
          <w:tcPr/>
          <w:p>
            <w:pPr>
              <w:pStyle w:val="Compact"/>
              <w:jc w:val="right"/>
            </w:pPr>
            <w:r>
              <w:t xml:space="preserve">0,0</w:t>
            </w:r>
          </w:p>
        </w:tc>
      </w:tr>
      <w:tr>
        <w:tc>
          <w:tcPr/>
          <w:p>
            <w:pPr>
              <w:pStyle w:val="Compact"/>
              <w:jc w:val="left"/>
            </w:pPr>
            <w:r>
              <w:t xml:space="preserve">VI, SIDS</w:t>
            </w:r>
          </w:p>
        </w:tc>
        <w:tc>
          <w:tcPr/>
          <w:p>
            <w:pPr>
              <w:pStyle w:val="Compact"/>
              <w:jc w:val="right"/>
            </w:pPr>
            <w:r>
              <w:rPr>
                <w:bCs/>
                <w:b/>
              </w:rPr>
              <w:t xml:space="preserve">+30,8</w:t>
            </w:r>
          </w:p>
        </w:tc>
        <w:tc>
          <w:tcPr/>
          <w:p>
            <w:pPr>
              <w:pStyle w:val="Compact"/>
              <w:jc w:val="right"/>
            </w:pPr>
            <w:r>
              <w:t xml:space="preserve">−2,6</w:t>
            </w:r>
          </w:p>
        </w:tc>
        <w:tc>
          <w:tcPr/>
          <w:p>
            <w:pPr>
              <w:pStyle w:val="Compact"/>
              <w:jc w:val="right"/>
            </w:pPr>
            <w:r>
              <w:t xml:space="preserve">−5,3</w:t>
            </w:r>
          </w:p>
        </w:tc>
        <w:tc>
          <w:tcPr/>
          <w:p>
            <w:pPr>
              <w:pStyle w:val="Compact"/>
              <w:jc w:val="right"/>
            </w:pPr>
            <w:r>
              <w:t xml:space="preserve">–¹</w:t>
            </w:r>
          </w:p>
        </w:tc>
        <w:tc>
          <w:tcPr/>
          <w:p>
            <w:pPr>
              <w:pStyle w:val="Compact"/>
              <w:jc w:val="right"/>
            </w:pPr>
            <w:r>
              <w:t xml:space="preserve">−10,2</w:t>
            </w:r>
          </w:p>
        </w:tc>
      </w:tr>
    </w:tbl>
    <w:p>
      <w:pPr>
        <w:pStyle w:val="BodyText"/>
      </w:pPr>
      <w:r>
        <w:rPr>
          <w:iCs/>
          <w:i/>
        </w:rPr>
        <w:t xml:space="preserve">¹ Δ R&amp;D chỉ tính được cho Nhóm V: biến chi R&amp;D (h8) không có trong các đợt 2006–2012 của Nhóm III, IV và VI. Nhóm I và II không có đợt khảo sát nào trước 2013 trong mẫu gộp nên không so sánh dọc được. ² Mức giảm R&amp;D ở Nhóm V chủ yếu là hiệu ứng schema (BREADY đo R&amp;D khác PICS3), không phản ánh suy giảm đầu tư thực.</w:t>
      </w:r>
    </w:p>
    <w:p>
      <w:pPr>
        <w:pStyle w:val="BodyText"/>
      </w:pPr>
      <w:r>
        <w:rPr>
          <w:bCs/>
          <w:b/>
        </w:rPr>
        <w:t xml:space="preserve">Nhảy vọt số</w:t>
      </w:r>
      <w:r>
        <w:t xml:space="preserve"> </w:t>
      </w:r>
      <w:r>
        <w:t xml:space="preserve">là xu hướng nổi bật nhất: website tăng +21 đến +31 điểm phần trăm ở Nhóm IV, V và VI, phù hợp luận điểm nhảy vọt số của Banalieva &amp; Dhanaraj (2019). Ngược chiều, tỷ lệ doanh nghiệp xuất khẩu của Nhóm IV giảm 11,3 điểm phần trăm, chủ yếu do đứt gãy lược đồ tại Ấn Độ 2025 (FSTS đo lường thấp hơn hệ thống) cộng hưởng với cấu trúc FDI lắp ráp; trong khi Nhóm III tăng 12,5 điểm phần trăm theo chuỗi giá trị toàn cầu. FDI giảm nhẹ phổ biến ở các nhóm IV–VI.</w:t>
      </w:r>
    </w:p>
    <w:p>
      <w:pPr>
        <w:pStyle w:val="CaptionedFigure"/>
      </w:pPr>
      <w:r>
        <w:drawing>
          <wp:inline>
            <wp:extent cx="5753100" cy="3591824"/>
            <wp:effectExtent b="0" l="0" r="0" t="0"/>
            <wp:docPr descr="Hình 2.3.4.1. Δ điểm phần trăm 5 chỉ số giữa hai kỳ theo nhóm ICRV." title="" id="72" name="Picture"/>
            <a:graphic>
              <a:graphicData uri="http://schemas.openxmlformats.org/drawingml/2006/picture">
                <pic:pic>
                  <pic:nvPicPr>
                    <pic:cNvPr descr="figures/hinh_2_3_4_1.png" id="73" name="Picture"/>
                    <pic:cNvPicPr>
                      <a:picLocks noChangeArrowheads="1" noChangeAspect="1"/>
                    </pic:cNvPicPr>
                  </pic:nvPicPr>
                  <pic:blipFill>
                    <a:blip r:embed="rId71"/>
                    <a:stretch>
                      <a:fillRect/>
                    </a:stretch>
                  </pic:blipFill>
                  <pic:spPr bwMode="auto">
                    <a:xfrm>
                      <a:off x="0" y="0"/>
                      <a:ext cx="5753100" cy="3591824"/>
                    </a:xfrm>
                    <a:prstGeom prst="rect">
                      <a:avLst/>
                    </a:prstGeom>
                    <a:noFill/>
                    <a:ln w="9525">
                      <a:noFill/>
                      <a:headEnd/>
                      <a:tailEnd/>
                    </a:ln>
                  </pic:spPr>
                </pic:pic>
              </a:graphicData>
            </a:graphic>
          </wp:inline>
        </w:drawing>
      </w:r>
    </w:p>
    <w:p>
      <w:pPr>
        <w:pStyle w:val="ImageCaption"/>
      </w:pPr>
      <w:r>
        <w:t xml:space="preserve">Hình 2.3.4.1. Δ điểm phần trăm 5 chỉ số giữa hai kỳ theo nhóm ICRV.</w:t>
      </w:r>
    </w:p>
    <w:p>
      <w:pPr>
        <w:pStyle w:val="BodyText"/>
      </w:pPr>
      <w:r>
        <w:rPr>
          <w:iCs/>
          <w:i/>
        </w:rPr>
        <w:t xml:space="preserve">Hình 2.3.4.1. Biểu đồ thanh Δ điểm phần trăm (2018–2026 so với 2006–2012) cho 5 chỉ số ở 4 nhóm ICRV có dữ liệu hai kỳ (III–VI), số liệu từ Bảng 2.3.6.1. Khuôn mẫu nổi bật: website tăng mạnh ở IV/V/VI; FDI giảm nhẹ phổ biến; R&amp;D Nhóm V giảm mạnh do hiệu ứng schema (Δ R&amp;D chỉ tính được cho Nhóm V).</w:t>
      </w:r>
    </w:p>
    <w:p>
      <w:pPr>
        <w:pStyle w:val="CaptionedFigure"/>
      </w:pPr>
      <w:r>
        <w:drawing>
          <wp:inline>
            <wp:extent cx="5753100" cy="5040937"/>
            <wp:effectExtent b="0" l="0" r="0" t="0"/>
            <wp:docPr descr="Hình 2.3.6.1. Hồ sơ năng lực 5 chiều theo nhóm ICRV." title="" id="75" name="Picture"/>
            <a:graphic>
              <a:graphicData uri="http://schemas.openxmlformats.org/drawingml/2006/picture">
                <pic:pic>
                  <pic:nvPicPr>
                    <pic:cNvPr descr="figures/hinh_2_3_6_1.png" id="76" name="Picture"/>
                    <pic:cNvPicPr>
                      <a:picLocks noChangeArrowheads="1" noChangeAspect="1"/>
                    </pic:cNvPicPr>
                  </pic:nvPicPr>
                  <pic:blipFill>
                    <a:blip r:embed="rId74"/>
                    <a:stretch>
                      <a:fillRect/>
                    </a:stretch>
                  </pic:blipFill>
                  <pic:spPr bwMode="auto">
                    <a:xfrm>
                      <a:off x="0" y="0"/>
                      <a:ext cx="5753100" cy="5040937"/>
                    </a:xfrm>
                    <a:prstGeom prst="rect">
                      <a:avLst/>
                    </a:prstGeom>
                    <a:noFill/>
                    <a:ln w="9525">
                      <a:noFill/>
                      <a:headEnd/>
                      <a:tailEnd/>
                    </a:ln>
                  </pic:spPr>
                </pic:pic>
              </a:graphicData>
            </a:graphic>
          </wp:inline>
        </w:drawing>
      </w:r>
    </w:p>
    <w:p>
      <w:pPr>
        <w:pStyle w:val="ImageCaption"/>
      </w:pPr>
      <w:r>
        <w:t xml:space="preserve">Hình 2.3.6.1. Hồ sơ năng lực 5 chiều theo nhóm ICRV.</w:t>
      </w:r>
    </w:p>
    <w:p>
      <w:pPr>
        <w:pStyle w:val="BodyText"/>
      </w:pPr>
      <w:r>
        <w:rPr>
          <w:iCs/>
          <w:i/>
        </w:rPr>
        <w:t xml:space="preserve">Hình 2.3.6.1. Radar/spider chart cho 3 nhóm (III, V, VI) trên 5 chiều (FSTS, Đổi mới sản phẩm, R&amp;D, Website, ISO), giá trị % của mẫu gộp mô tả hiện hành 2006–2026 (Bảng 2.3.3.2 và 2.3.4.1); biến thiên theo thời gian được trình bày ở Hình 2.3.4.1.</w:t>
      </w:r>
    </w:p>
    <w:bookmarkEnd w:id="77"/>
    <w:bookmarkStart w:id="78"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78"/>
    <w:bookmarkStart w:id="79"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Khuôn mẫu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79"/>
    <w:bookmarkStart w:id="80" w:name="X1d47135c80476194b5241d402e75408da359bb1"/>
    <w:p>
      <w:pPr>
        <w:pStyle w:val="Heading4"/>
      </w:pPr>
      <w:r>
        <w:t xml:space="preserve">2.3.6.4 Dị biệt nội bộ khối châu Á mới nổi (7 nền thuộc Nhóm IV–V)</w:t>
      </w:r>
    </w:p>
    <w:p>
      <w:pPr>
        <w:pStyle w:val="FirstParagraph"/>
      </w:pPr>
      <w:r>
        <w:t xml:space="preserve">Bảy nền kinh tế mới nổi đông dân nhất của khung phân tích (Việt Nam, Indonesia, Philippines, Ấn Độ, Mông Cổ thuộc Nhóm IV; Sri Lanka, Jordan thuộc Nhóm V) thường bị tài liệu gộp thành một khối</w:t>
      </w:r>
      <w:r>
        <w:t xml:space="preserve"> </w:t>
      </w:r>
      <w:r>
        <w:t xml:space="preserve">“</w:t>
      </w:r>
      <w:r>
        <w:t xml:space="preserve">Emerging Asia</w:t>
      </w:r>
      <w:r>
        <w:t xml:space="preserve">”</w:t>
      </w:r>
      <w:r>
        <w:t xml:space="preserve"> </w:t>
      </w:r>
      <w:r>
        <w:t xml:space="preserve">đồng nhất. Dữ liệu cho thấy ba phân nhóm con khác biệt rõ:</w:t>
      </w:r>
    </w:p>
    <w:p>
      <w:pPr>
        <w:pStyle w:val="BodyText"/>
      </w:pPr>
      <w:r>
        <w:rPr>
          <w:bCs/>
          <w:b/>
        </w:rPr>
        <w:t xml:space="preserve">Bảng 2.3.6.4</w:t>
      </w:r>
      <w:r>
        <w:t xml:space="preserve">.</w:t>
      </w:r>
      <w:r>
        <w:t xml:space="preserve"> </w:t>
      </w:r>
      <w:r>
        <w:rPr>
          <w:iCs/>
          <w:i/>
        </w:rPr>
        <w:t xml:space="preserve">Dị biệt nội bộ khối châu Á mới nổi, số liệu tổng hợp mẫu gộp mô tả 2006–2026 (n=43.502).</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Nền kinh tế</w:t>
            </w:r>
          </w:p>
        </w:tc>
        <w:tc>
          <w:tcPr/>
          <w:p>
            <w:pPr>
              <w:pStyle w:val="Compact"/>
              <w:jc w:val="right"/>
            </w:pPr>
            <w:r>
              <w:t xml:space="preserve">n_firms</w:t>
            </w:r>
          </w:p>
        </w:tc>
        <w:tc>
          <w:tcPr/>
          <w:p>
            <w:pPr>
              <w:pStyle w:val="Compact"/>
              <w:jc w:val="right"/>
            </w:pPr>
            <w:r>
              <w:t xml:space="preserve">FSTS (%)</w:t>
            </w:r>
          </w:p>
        </w:tc>
        <w:tc>
          <w:tcPr/>
          <w:p>
            <w:pPr>
              <w:pStyle w:val="Compact"/>
              <w:jc w:val="right"/>
            </w:pPr>
            <w:r>
              <w:t xml:space="preserve">DN xuất khẩu (%)</w:t>
            </w:r>
          </w:p>
        </w:tc>
        <w:tc>
          <w:tcPr/>
          <w:p>
            <w:pPr>
              <w:pStyle w:val="Compact"/>
              <w:jc w:val="right"/>
            </w:pPr>
            <w:r>
              <w:t xml:space="preserve">FDI</w:t>
            </w:r>
            <w:r>
              <w:t xml:space="preserve"> </w:t>
            </w:r>
            <m:oMath>
              <m:r>
                <m:rPr>
                  <m:sty m:val="p"/>
                </m:rPr>
                <m:t>≥</m:t>
              </m:r>
            </m:oMath>
            <w:r>
              <w:t xml:space="preserve"> </w:t>
            </w:r>
            <w:r>
              <w:t xml:space="preserve">10% (%)</w:t>
            </w:r>
          </w:p>
        </w:tc>
        <w:tc>
          <w:tcPr/>
          <w:p>
            <w:pPr>
              <w:pStyle w:val="Compact"/>
              <w:jc w:val="right"/>
            </w:pPr>
            <w:r>
              <w:t xml:space="preserve">Website (%)</w:t>
            </w:r>
          </w:p>
        </w:tc>
        <w:tc>
          <w:tcPr/>
          <w:p>
            <w:pPr>
              <w:pStyle w:val="Compact"/>
              <w:jc w:val="right"/>
            </w:pPr>
            <w:r>
              <w:t xml:space="preserve">R&amp;D (%)</w:t>
            </w:r>
          </w:p>
        </w:tc>
        <w:tc>
          <w:tcPr/>
          <w:p>
            <w:pPr>
              <w:pStyle w:val="Compact"/>
              <w:jc w:val="right"/>
            </w:pPr>
            <w:r>
              <w:t xml:space="preserve">ISO (%)</w:t>
            </w:r>
          </w:p>
        </w:tc>
        <w:tc>
          <w:tcPr/>
          <w:p>
            <w:pPr>
              <w:pStyle w:val="Compact"/>
              <w:jc w:val="right"/>
            </w:pPr>
            <w:r>
              <w:t xml:space="preserve">sd ln(LP)¹</w:t>
            </w:r>
          </w:p>
        </w:tc>
      </w:tr>
      <w:tr>
        <w:tc>
          <w:tcPr/>
          <w:p>
            <w:pPr>
              <w:pStyle w:val="Compact"/>
              <w:jc w:val="left"/>
            </w:pPr>
            <w:r>
              <w:t xml:space="preserve">FDI dẫn dắt SEA</w:t>
            </w:r>
          </w:p>
        </w:tc>
        <w:tc>
          <w:tcPr/>
          <w:p>
            <w:pPr>
              <w:pStyle w:val="Compact"/>
              <w:jc w:val="left"/>
            </w:pPr>
            <w:r>
              <w:t xml:space="preserve">VNM, IDN, PHL</w:t>
            </w:r>
          </w:p>
        </w:tc>
        <w:tc>
          <w:tcPr/>
          <w:p>
            <w:pPr>
              <w:pStyle w:val="Compact"/>
              <w:jc w:val="right"/>
            </w:pPr>
            <w:r>
              <w:t xml:space="preserve">9.798</w:t>
            </w:r>
          </w:p>
        </w:tc>
        <w:tc>
          <w:tcPr/>
          <w:p>
            <w:pPr>
              <w:pStyle w:val="Compact"/>
              <w:jc w:val="right"/>
            </w:pPr>
            <w:r>
              <w:rPr>
                <w:bCs/>
                <w:b/>
              </w:rPr>
              <w:t xml:space="preserve">12,4</w:t>
            </w:r>
          </w:p>
        </w:tc>
        <w:tc>
          <w:tcPr/>
          <w:p>
            <w:pPr>
              <w:pStyle w:val="Compact"/>
              <w:jc w:val="right"/>
            </w:pPr>
            <w:r>
              <w:t xml:space="preserve">20,5</w:t>
            </w:r>
          </w:p>
        </w:tc>
        <w:tc>
          <w:tcPr/>
          <w:p>
            <w:pPr>
              <w:pStyle w:val="Compact"/>
              <w:jc w:val="right"/>
            </w:pPr>
            <w:r>
              <w:t xml:space="preserve">8,6</w:t>
            </w:r>
          </w:p>
        </w:tc>
        <w:tc>
          <w:tcPr/>
          <w:p>
            <w:pPr>
              <w:pStyle w:val="Compact"/>
              <w:jc w:val="right"/>
            </w:pPr>
            <w:r>
              <w:t xml:space="preserve">43,0</w:t>
            </w:r>
          </w:p>
        </w:tc>
        <w:tc>
          <w:tcPr/>
          <w:p>
            <w:pPr>
              <w:pStyle w:val="Compact"/>
              <w:jc w:val="right"/>
            </w:pPr>
            <w:r>
              <w:t xml:space="preserve">6,8</w:t>
            </w:r>
          </w:p>
        </w:tc>
        <w:tc>
          <w:tcPr/>
          <w:p>
            <w:pPr>
              <w:pStyle w:val="Compact"/>
              <w:jc w:val="right"/>
            </w:pPr>
            <w:r>
              <w:t xml:space="preserve">16,0</w:t>
            </w:r>
          </w:p>
        </w:tc>
        <w:tc>
          <w:tcPr/>
          <w:p>
            <w:pPr>
              <w:pStyle w:val="Compact"/>
              <w:jc w:val="right"/>
            </w:pPr>
            <w:r>
              <w:t xml:space="preserve">1,47</w:t>
            </w:r>
          </w:p>
        </w:tc>
      </w:tr>
      <w:tr>
        <w:tc>
          <w:tcPr/>
          <w:p>
            <w:pPr>
              <w:pStyle w:val="Compact"/>
              <w:jc w:val="left"/>
            </w:pPr>
            <w:r>
              <w:t xml:space="preserve">Dân số lớn</w:t>
            </w:r>
          </w:p>
        </w:tc>
        <w:tc>
          <w:tcPr/>
          <w:p>
            <w:pPr>
              <w:pStyle w:val="Compact"/>
              <w:jc w:val="left"/>
            </w:pPr>
            <w:r>
              <w:t xml:space="preserve">IND, LKA, JOR</w:t>
            </w:r>
          </w:p>
        </w:tc>
        <w:tc>
          <w:tcPr/>
          <w:p>
            <w:pPr>
              <w:pStyle w:val="Compact"/>
              <w:jc w:val="right"/>
            </w:pPr>
            <w:r>
              <w:t xml:space="preserve">32.622</w:t>
            </w:r>
          </w:p>
        </w:tc>
        <w:tc>
          <w:tcPr/>
          <w:p>
            <w:pPr>
              <w:pStyle w:val="Compact"/>
              <w:jc w:val="right"/>
            </w:pPr>
            <w:r>
              <w:rPr>
                <w:bCs/>
                <w:b/>
              </w:rPr>
              <w:t xml:space="preserve">7,1</w:t>
            </w:r>
          </w:p>
        </w:tc>
        <w:tc>
          <w:tcPr/>
          <w:p>
            <w:pPr>
              <w:pStyle w:val="Compact"/>
              <w:jc w:val="right"/>
            </w:pPr>
            <w:r>
              <w:t xml:space="preserve">13,8</w:t>
            </w:r>
          </w:p>
        </w:tc>
        <w:tc>
          <w:tcPr/>
          <w:p>
            <w:pPr>
              <w:pStyle w:val="Compact"/>
              <w:jc w:val="right"/>
            </w:pPr>
            <w:r>
              <w:t xml:space="preserve">2,0</w:t>
            </w:r>
          </w:p>
        </w:tc>
        <w:tc>
          <w:tcPr/>
          <w:p>
            <w:pPr>
              <w:pStyle w:val="Compact"/>
              <w:jc w:val="right"/>
            </w:pPr>
            <w:r>
              <w:t xml:space="preserve">51,5</w:t>
            </w:r>
          </w:p>
        </w:tc>
        <w:tc>
          <w:tcPr/>
          <w:p>
            <w:pPr>
              <w:pStyle w:val="Compact"/>
              <w:jc w:val="right"/>
            </w:pPr>
            <w:r>
              <w:t xml:space="preserve">17,9</w:t>
            </w:r>
          </w:p>
        </w:tc>
        <w:tc>
          <w:tcPr/>
          <w:p>
            <w:pPr>
              <w:pStyle w:val="Compact"/>
              <w:jc w:val="right"/>
            </w:pPr>
            <w:r>
              <w:t xml:space="preserve">28,0</w:t>
            </w:r>
          </w:p>
        </w:tc>
        <w:tc>
          <w:tcPr/>
          <w:p>
            <w:pPr>
              <w:pStyle w:val="Compact"/>
              <w:jc w:val="right"/>
            </w:pPr>
            <w:r>
              <w:t xml:space="preserve">1,25</w:t>
            </w:r>
          </w:p>
        </w:tc>
      </w:tr>
      <w:tr>
        <w:tc>
          <w:tcPr/>
          <w:p>
            <w:pPr>
              <w:pStyle w:val="Compact"/>
              <w:jc w:val="left"/>
            </w:pPr>
            <w:r>
              <w:t xml:space="preserve">Tài nguyên</w:t>
            </w:r>
          </w:p>
        </w:tc>
        <w:tc>
          <w:tcPr/>
          <w:p>
            <w:pPr>
              <w:pStyle w:val="Compact"/>
              <w:jc w:val="left"/>
            </w:pPr>
            <w:r>
              <w:t xml:space="preserve">MNG</w:t>
            </w:r>
          </w:p>
        </w:tc>
        <w:tc>
          <w:tcPr/>
          <w:p>
            <w:pPr>
              <w:pStyle w:val="Compact"/>
              <w:jc w:val="right"/>
            </w:pPr>
            <w:r>
              <w:t xml:space="preserve">1.082</w:t>
            </w:r>
          </w:p>
        </w:tc>
        <w:tc>
          <w:tcPr/>
          <w:p>
            <w:pPr>
              <w:pStyle w:val="Compact"/>
              <w:jc w:val="right"/>
            </w:pPr>
            <w:r>
              <w:rPr>
                <w:bCs/>
                <w:b/>
              </w:rPr>
              <w:t xml:space="preserve">4,7</w:t>
            </w:r>
          </w:p>
        </w:tc>
        <w:tc>
          <w:tcPr/>
          <w:p>
            <w:pPr>
              <w:pStyle w:val="Compact"/>
              <w:jc w:val="right"/>
            </w:pPr>
            <w:r>
              <w:t xml:space="preserve">9,0</w:t>
            </w:r>
          </w:p>
        </w:tc>
        <w:tc>
          <w:tcPr/>
          <w:p>
            <w:pPr>
              <w:pStyle w:val="Compact"/>
              <w:jc w:val="right"/>
            </w:pPr>
            <w:r>
              <w:t xml:space="preserve">5,7</w:t>
            </w:r>
          </w:p>
        </w:tc>
        <w:tc>
          <w:tcPr/>
          <w:p>
            <w:pPr>
              <w:pStyle w:val="Compact"/>
              <w:jc w:val="right"/>
            </w:pPr>
            <w:r>
              <w:t xml:space="preserve">43,6</w:t>
            </w:r>
          </w:p>
        </w:tc>
        <w:tc>
          <w:tcPr/>
          <w:p>
            <w:pPr>
              <w:pStyle w:val="Compact"/>
              <w:jc w:val="right"/>
            </w:pPr>
            <w:r>
              <w:t xml:space="preserve">33,7</w:t>
            </w:r>
          </w:p>
        </w:tc>
        <w:tc>
          <w:tcPr/>
          <w:p>
            <w:pPr>
              <w:pStyle w:val="Compact"/>
              <w:jc w:val="right"/>
            </w:pPr>
            <w:r>
              <w:t xml:space="preserve">14,0</w:t>
            </w:r>
          </w:p>
        </w:tc>
        <w:tc>
          <w:tcPr/>
          <w:p>
            <w:pPr>
              <w:pStyle w:val="Compact"/>
              <w:jc w:val="right"/>
            </w:pPr>
            <w:r>
              <w:t xml:space="preserve">1,27</w:t>
            </w:r>
          </w:p>
        </w:tc>
      </w:tr>
      <w:tr>
        <w:tc>
          <w:tcPr/>
          <w:p>
            <w:pPr>
              <w:pStyle w:val="Compact"/>
              <w:jc w:val="left"/>
            </w:pPr>
            <w:r>
              <w:rPr>
                <w:bCs/>
                <w:b/>
              </w:rPr>
              <w:t xml:space="preserve">Tổng 7 nền</w:t>
            </w:r>
          </w:p>
        </w:tc>
        <w:tc>
          <w:tcPr/>
          <w:p>
            <w:pPr>
              <w:pStyle w:val="Compact"/>
            </w:pPr>
          </w:p>
        </w:tc>
        <w:tc>
          <w:tcPr/>
          <w:p>
            <w:pPr>
              <w:pStyle w:val="Compact"/>
              <w:jc w:val="right"/>
            </w:pPr>
            <w:r>
              <w:rPr>
                <w:bCs/>
                <w:b/>
              </w:rPr>
              <w:t xml:space="preserve">43.502</w:t>
            </w:r>
          </w:p>
        </w:tc>
        <w:tc>
          <w:tcPr/>
          <w:p>
            <w:pPr>
              <w:pStyle w:val="Compact"/>
              <w:jc w:val="right"/>
            </w:pPr>
            <w:r>
              <w:t xml:space="preserve">8,2</w:t>
            </w:r>
          </w:p>
        </w:tc>
        <w:tc>
          <w:tcPr/>
          <w:p>
            <w:pPr>
              <w:pStyle w:val="Compact"/>
              <w:jc w:val="right"/>
            </w:pPr>
            <w:r>
              <w:t xml:space="preserve">15,1</w:t>
            </w:r>
          </w:p>
        </w:tc>
        <w:tc>
          <w:tcPr/>
          <w:p>
            <w:pPr>
              <w:pStyle w:val="Compact"/>
              <w:jc w:val="right"/>
            </w:pPr>
            <w:r>
              <w:t xml:space="preserve">3,5</w:t>
            </w:r>
          </w:p>
        </w:tc>
        <w:tc>
          <w:tcPr/>
          <w:p>
            <w:pPr>
              <w:pStyle w:val="Compact"/>
              <w:jc w:val="right"/>
            </w:pPr>
            <w:r>
              <w:t xml:space="preserve">49,4</w:t>
            </w:r>
          </w:p>
        </w:tc>
        <w:tc>
          <w:tcPr/>
          <w:p>
            <w:pPr>
              <w:pStyle w:val="Compact"/>
              <w:jc w:val="right"/>
            </w:pPr>
            <w:r>
              <w:t xml:space="preserve">16,5</w:t>
            </w:r>
          </w:p>
        </w:tc>
        <w:tc>
          <w:tcPr/>
          <w:p>
            <w:pPr>
              <w:pStyle w:val="Compact"/>
              <w:jc w:val="right"/>
            </w:pPr>
            <w:r>
              <w:t xml:space="preserve">25,1</w:t>
            </w:r>
          </w:p>
        </w:tc>
        <w:tc>
          <w:tcPr/>
          <w:p>
            <w:pPr>
              <w:pStyle w:val="Compact"/>
              <w:jc w:val="right"/>
            </w:pPr>
            <w:r>
              <w:t xml:space="preserve">1,31</w:t>
            </w:r>
          </w:p>
        </w:tc>
      </w:tr>
    </w:tbl>
    <w:p>
      <w:pPr>
        <w:pStyle w:val="BodyText"/>
      </w:pPr>
      <w:r>
        <w:rPr>
          <w:iCs/>
          <w:i/>
        </w:rPr>
        <w:t xml:space="preserve">¹ Trung vị độ lệch chuẩn ln(năng suất lao động) tính trong từng đợt khảo sát (bất biến tiền tệ).</w:t>
      </w:r>
    </w:p>
    <w:p>
      <w:pPr>
        <w:pStyle w:val="BodyText"/>
      </w:pPr>
      <w:r>
        <w:t xml:space="preserve">Năm phát hiện: (1) FSTS phân tầng 4,7%–7,1%–12,4% bị che giấu khi gộp; (2) FDI chênh lệch hơn 4 lần giữa ASEAN-3 và khối dân số lớn; (3) cấu trúc năng lực ngược chiều, khối FDI dẫn dắt có FSTS cao nhất nhưng R&amp;D thấp nhất (6,8%), khối dân số lớn ngược lại (R&amp;D 17,9%, ISO 28,0%); (4) Mông Cổ là trường hợp biên với đặc điểm tài nguyên (R&amp;D 33,7% nhưng FSTS chỉ 4,7%); (5) phân tán trong đợt 1,47 so với 1,25, phân tầng hai tầng rõ hơn trong mẫu con FDI dẫn dắt (Hsieh &amp; Klenow, 2009).</w:t>
      </w:r>
    </w:p>
    <w:bookmarkEnd w:id="80"/>
    <w:bookmarkStart w:id="81"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13 nền kinh tế trong đợt khảo sát 2025 (n=16.880; xếp theo quy mô mẫu).</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Nền kinh tế</w:t>
            </w:r>
          </w:p>
        </w:tc>
        <w:tc>
          <w:tcPr/>
          <w:p>
            <w:pPr>
              <w:pStyle w:val="Compact"/>
              <w:jc w:val="left"/>
            </w:pPr>
            <w:r>
              <w:t xml:space="preserve">ISO3</w:t>
            </w:r>
          </w:p>
        </w:tc>
        <w:tc>
          <w:tcPr/>
          <w:p>
            <w:pPr>
              <w:pStyle w:val="Compact"/>
              <w:jc w:val="left"/>
            </w:pPr>
            <w:r>
              <w:t xml:space="preserve">Nhóm ICRV</w:t>
            </w:r>
          </w:p>
        </w:tc>
        <w:tc>
          <w:tcPr/>
          <w:p>
            <w:pPr>
              <w:pStyle w:val="Compact"/>
              <w:jc w:val="right"/>
            </w:pPr>
            <w:r>
              <w:t xml:space="preserve">n_firms</w:t>
            </w:r>
          </w:p>
        </w:tc>
        <w:tc>
          <w:tcPr/>
          <w:p>
            <w:pPr>
              <w:pStyle w:val="Compact"/>
              <w:jc w:val="right"/>
            </w:pPr>
            <w:r>
              <w:t xml:space="preserve">FSTS (%)</w:t>
            </w:r>
          </w:p>
        </w:tc>
        <w:tc>
          <w:tcPr/>
          <w:p>
            <w:pPr>
              <w:pStyle w:val="Compact"/>
              <w:jc w:val="right"/>
            </w:pPr>
            <w:r>
              <w:t xml:space="preserve">FDI (%)</w:t>
            </w:r>
          </w:p>
        </w:tc>
        <w:tc>
          <w:tcPr/>
          <w:p>
            <w:pPr>
              <w:pStyle w:val="Compact"/>
              <w:jc w:val="right"/>
            </w:pPr>
            <w:r>
              <w:t xml:space="preserve">R&amp;D (%)</w:t>
            </w:r>
          </w:p>
        </w:tc>
        <w:tc>
          <w:tcPr/>
          <w:p>
            <w:pPr>
              <w:pStyle w:val="Compact"/>
              <w:jc w:val="right"/>
            </w:pPr>
            <w:r>
              <w:t xml:space="preserve">Website (%)</w:t>
            </w:r>
          </w:p>
        </w:tc>
        <w:tc>
          <w:tcPr/>
          <w:p>
            <w:pPr>
              <w:pStyle w:val="Compact"/>
              <w:jc w:val="right"/>
            </w:pPr>
            <w:r>
              <w:t xml:space="preserve">sd ln(LP)¹</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IV</w:t>
            </w:r>
          </w:p>
        </w:tc>
        <w:tc>
          <w:tcPr/>
          <w:p>
            <w:pPr>
              <w:pStyle w:val="Compact"/>
              <w:jc w:val="right"/>
            </w:pPr>
            <w:r>
              <w:t xml:space="preserve">10.479</w:t>
            </w:r>
          </w:p>
        </w:tc>
        <w:tc>
          <w:tcPr/>
          <w:p>
            <w:pPr>
              <w:pStyle w:val="Compact"/>
              <w:jc w:val="right"/>
            </w:pPr>
            <w:r>
              <w:t xml:space="preserve">2,7</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41,8</w:t>
            </w:r>
          </w:p>
        </w:tc>
        <w:tc>
          <w:tcPr/>
          <w:p>
            <w:pPr>
              <w:pStyle w:val="Compact"/>
              <w:jc w:val="right"/>
            </w:pPr>
            <w:r>
              <w:t xml:space="preserve">0,84</w:t>
            </w:r>
          </w:p>
        </w:tc>
      </w:tr>
      <w:tr>
        <w:tc>
          <w:tcPr/>
          <w:p>
            <w:pPr>
              <w:pStyle w:val="Compact"/>
              <w:jc w:val="left"/>
            </w:pPr>
            <w:r>
              <w:rPr>
                <w:bCs/>
                <w:b/>
              </w:rPr>
              <w:t xml:space="preserve">Nhật Bản</w:t>
            </w:r>
          </w:p>
        </w:tc>
        <w:tc>
          <w:tcPr/>
          <w:p>
            <w:pPr>
              <w:pStyle w:val="Compact"/>
              <w:jc w:val="left"/>
            </w:pPr>
            <w:r>
              <w:rPr>
                <w:bCs/>
                <w:b/>
              </w:rPr>
              <w:t xml:space="preserve">JPN</w:t>
            </w:r>
          </w:p>
        </w:tc>
        <w:tc>
          <w:tcPr/>
          <w:p>
            <w:pPr>
              <w:pStyle w:val="Compact"/>
              <w:jc w:val="left"/>
            </w:pPr>
            <w:r>
              <w:rPr>
                <w:bCs/>
                <w:b/>
              </w:rPr>
              <w:t xml:space="preserve">I</w:t>
            </w:r>
          </w:p>
        </w:tc>
        <w:tc>
          <w:tcPr/>
          <w:p>
            <w:pPr>
              <w:pStyle w:val="Compact"/>
              <w:jc w:val="right"/>
            </w:pPr>
            <w:r>
              <w:rPr>
                <w:bCs/>
                <w:b/>
              </w:rPr>
              <w:t xml:space="preserve">2.168</w:t>
            </w:r>
          </w:p>
        </w:tc>
        <w:tc>
          <w:tcPr/>
          <w:p>
            <w:pPr>
              <w:pStyle w:val="Compact"/>
              <w:jc w:val="right"/>
            </w:pPr>
            <w:r>
              <w:rPr>
                <w:bCs/>
                <w:b/>
              </w:rPr>
              <w:t xml:space="preserve">4,1</w:t>
            </w:r>
          </w:p>
        </w:tc>
        <w:tc>
          <w:tcPr/>
          <w:p>
            <w:pPr>
              <w:pStyle w:val="Compact"/>
              <w:jc w:val="right"/>
            </w:pPr>
            <w:r>
              <w:rPr>
                <w:bCs/>
                <w:b/>
              </w:rPr>
              <w:t xml:space="preserve">1,9</w:t>
            </w:r>
          </w:p>
        </w:tc>
        <w:tc>
          <w:tcPr/>
          <w:p>
            <w:pPr>
              <w:pStyle w:val="Compact"/>
              <w:jc w:val="right"/>
            </w:pPr>
            <w:r>
              <w:rPr>
                <w:bCs/>
                <w:b/>
              </w:rPr>
              <w:t xml:space="preserve">21,9</w:t>
            </w:r>
          </w:p>
        </w:tc>
        <w:tc>
          <w:tcPr/>
          <w:p>
            <w:pPr>
              <w:pStyle w:val="Compact"/>
              <w:jc w:val="right"/>
            </w:pPr>
            <w:r>
              <w:rPr>
                <w:bCs/>
                <w:b/>
              </w:rPr>
              <w:t xml:space="preserve">83,8</w:t>
            </w:r>
          </w:p>
        </w:tc>
        <w:tc>
          <w:tcPr/>
          <w:p>
            <w:pPr>
              <w:pStyle w:val="Compact"/>
              <w:jc w:val="right"/>
            </w:pPr>
            <w:r>
              <w:rPr>
                <w:bCs/>
                <w:b/>
              </w:rPr>
              <w:t xml:space="preserve">0,89</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II</w:t>
            </w:r>
          </w:p>
        </w:tc>
        <w:tc>
          <w:tcPr/>
          <w:p>
            <w:pPr>
              <w:pStyle w:val="Compact"/>
              <w:jc w:val="right"/>
            </w:pPr>
            <w:r>
              <w:t xml:space="preserve">1.002</w:t>
            </w:r>
          </w:p>
        </w:tc>
        <w:tc>
          <w:tcPr/>
          <w:p>
            <w:pPr>
              <w:pStyle w:val="Compact"/>
              <w:jc w:val="right"/>
            </w:pPr>
            <w:r>
              <w:t xml:space="preserve">2,7</w:t>
            </w:r>
          </w:p>
        </w:tc>
        <w:tc>
          <w:tcPr/>
          <w:p>
            <w:pPr>
              <w:pStyle w:val="Compact"/>
              <w:jc w:val="right"/>
            </w:pPr>
            <w:r>
              <w:t xml:space="preserve">9,5</w:t>
            </w:r>
          </w:p>
        </w:tc>
        <w:tc>
          <w:tcPr/>
          <w:p>
            <w:pPr>
              <w:pStyle w:val="Compact"/>
              <w:jc w:val="right"/>
            </w:pPr>
            <w:r>
              <w:t xml:space="preserve">1,7</w:t>
            </w:r>
          </w:p>
        </w:tc>
        <w:tc>
          <w:tcPr/>
          <w:p>
            <w:pPr>
              <w:pStyle w:val="Compact"/>
              <w:jc w:val="right"/>
            </w:pPr>
            <w:r>
              <w:t xml:space="preserve">30,2</w:t>
            </w:r>
          </w:p>
        </w:tc>
        <w:tc>
          <w:tcPr/>
          <w:p>
            <w:pPr>
              <w:pStyle w:val="Compact"/>
              <w:jc w:val="righ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III</w:t>
            </w:r>
          </w:p>
        </w:tc>
        <w:tc>
          <w:tcPr/>
          <w:p>
            <w:pPr>
              <w:pStyle w:val="Compact"/>
              <w:jc w:val="right"/>
            </w:pPr>
            <w:r>
              <w:t xml:space="preserve">813</w:t>
            </w:r>
          </w:p>
        </w:tc>
        <w:tc>
          <w:tcPr/>
          <w:p>
            <w:pPr>
              <w:pStyle w:val="Compact"/>
              <w:jc w:val="right"/>
            </w:pPr>
            <w:r>
              <w:t xml:space="preserve">9,3</w:t>
            </w:r>
          </w:p>
        </w:tc>
        <w:tc>
          <w:tcPr/>
          <w:p>
            <w:pPr>
              <w:pStyle w:val="Compact"/>
              <w:jc w:val="right"/>
            </w:pPr>
            <w:r>
              <w:t xml:space="preserve">6,3</w:t>
            </w:r>
          </w:p>
        </w:tc>
        <w:tc>
          <w:tcPr/>
          <w:p>
            <w:pPr>
              <w:pStyle w:val="Compact"/>
              <w:jc w:val="right"/>
            </w:pPr>
            <w:r>
              <w:t xml:space="preserve">8,7</w:t>
            </w:r>
          </w:p>
        </w:tc>
        <w:tc>
          <w:tcPr/>
          <w:p>
            <w:pPr>
              <w:pStyle w:val="Compact"/>
              <w:jc w:val="right"/>
            </w:pPr>
            <w:r>
              <w:t xml:space="preserve">61,9</w:t>
            </w:r>
          </w:p>
        </w:tc>
        <w:tc>
          <w:tcPr/>
          <w:p>
            <w:pPr>
              <w:pStyle w:val="Compact"/>
              <w:jc w:val="right"/>
            </w:pPr>
            <w:r>
              <w:t xml:space="preserve">1,40</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V</w:t>
            </w:r>
          </w:p>
        </w:tc>
        <w:tc>
          <w:tcPr/>
          <w:p>
            <w:pPr>
              <w:pStyle w:val="Compact"/>
              <w:jc w:val="right"/>
            </w:pPr>
            <w:r>
              <w:t xml:space="preserve">607</w:t>
            </w:r>
          </w:p>
        </w:tc>
        <w:tc>
          <w:tcPr/>
          <w:p>
            <w:pPr>
              <w:pStyle w:val="Compact"/>
              <w:jc w:val="right"/>
            </w:pPr>
            <w:r>
              <w:t xml:space="preserve">16,1</w:t>
            </w:r>
          </w:p>
        </w:tc>
        <w:tc>
          <w:tcPr/>
          <w:p>
            <w:pPr>
              <w:pStyle w:val="Compact"/>
              <w:jc w:val="right"/>
            </w:pPr>
            <w:r>
              <w:t xml:space="preserve">1,8</w:t>
            </w:r>
          </w:p>
        </w:tc>
        <w:tc>
          <w:tcPr/>
          <w:p>
            <w:pPr>
              <w:pStyle w:val="Compact"/>
              <w:jc w:val="right"/>
            </w:pPr>
            <w:r>
              <w:t xml:space="preserve">4,1</w:t>
            </w:r>
          </w:p>
        </w:tc>
        <w:tc>
          <w:tcPr/>
          <w:p>
            <w:pPr>
              <w:pStyle w:val="Compact"/>
              <w:jc w:val="right"/>
            </w:pPr>
            <w:r>
              <w:t xml:space="preserve">48,8</w:t>
            </w:r>
          </w:p>
        </w:tc>
        <w:tc>
          <w:tcPr/>
          <w:p>
            <w:pPr>
              <w:pStyle w:val="Compact"/>
              <w:jc w:val="right"/>
            </w:pPr>
            <w:r>
              <w:t xml:space="preserve">1,02</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II</w:t>
            </w:r>
          </w:p>
        </w:tc>
        <w:tc>
          <w:tcPr/>
          <w:p>
            <w:pPr>
              <w:pStyle w:val="Compact"/>
              <w:jc w:val="right"/>
            </w:pPr>
            <w:r>
              <w:t xml:space="preserve">480</w:t>
            </w:r>
          </w:p>
        </w:tc>
        <w:tc>
          <w:tcPr/>
          <w:p>
            <w:pPr>
              <w:pStyle w:val="Compact"/>
              <w:jc w:val="right"/>
            </w:pPr>
            <w:r>
              <w:t xml:space="preserve">2,3</w:t>
            </w:r>
          </w:p>
        </w:tc>
        <w:tc>
          <w:tcPr/>
          <w:p>
            <w:pPr>
              <w:pStyle w:val="Compact"/>
              <w:jc w:val="right"/>
            </w:pPr>
            <w:r>
              <w:t xml:space="preserve">19,4</w:t>
            </w:r>
          </w:p>
        </w:tc>
        <w:tc>
          <w:tcPr/>
          <w:p>
            <w:pPr>
              <w:pStyle w:val="Compact"/>
              <w:jc w:val="right"/>
            </w:pPr>
            <w:r>
              <w:t xml:space="preserve">0,6</w:t>
            </w:r>
          </w:p>
        </w:tc>
        <w:tc>
          <w:tcPr/>
          <w:p>
            <w:pPr>
              <w:pStyle w:val="Compact"/>
              <w:jc w:val="right"/>
            </w:pPr>
            <w:r>
              <w:t xml:space="preserve">63,3</w:t>
            </w:r>
          </w:p>
        </w:tc>
        <w:tc>
          <w:tcPr/>
          <w:p>
            <w:pPr>
              <w:pStyle w:val="Compact"/>
              <w:jc w:val="right"/>
            </w:pPr>
            <w:r>
              <w:rPr>
                <w:bCs/>
                <w:b/>
              </w:rPr>
              <w:t xml:space="preserve">0,33</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V</w:t>
            </w:r>
          </w:p>
        </w:tc>
        <w:tc>
          <w:tcPr/>
          <w:p>
            <w:pPr>
              <w:pStyle w:val="Compact"/>
              <w:jc w:val="right"/>
            </w:pPr>
            <w:r>
              <w:t xml:space="preserve">426</w:t>
            </w:r>
          </w:p>
        </w:tc>
        <w:tc>
          <w:tcPr/>
          <w:p>
            <w:pPr>
              <w:pStyle w:val="Compact"/>
              <w:jc w:val="right"/>
            </w:pPr>
            <w:r>
              <w:t xml:space="preserve">5,9</w:t>
            </w:r>
          </w:p>
        </w:tc>
        <w:tc>
          <w:tcPr/>
          <w:p>
            <w:pPr>
              <w:pStyle w:val="Compact"/>
              <w:jc w:val="right"/>
            </w:pPr>
            <w:r>
              <w:t xml:space="preserve">1,2</w:t>
            </w:r>
          </w:p>
        </w:tc>
        <w:tc>
          <w:tcPr/>
          <w:p>
            <w:pPr>
              <w:pStyle w:val="Compact"/>
              <w:jc w:val="right"/>
            </w:pPr>
            <w:r>
              <w:t xml:space="preserve">25,1</w:t>
            </w:r>
          </w:p>
        </w:tc>
        <w:tc>
          <w:tcPr/>
          <w:p>
            <w:pPr>
              <w:pStyle w:val="Compact"/>
              <w:jc w:val="right"/>
            </w:pPr>
            <w:r>
              <w:t xml:space="preserve">47,2</w:t>
            </w:r>
          </w:p>
        </w:tc>
        <w:tc>
          <w:tcPr/>
          <w:p>
            <w:pPr>
              <w:pStyle w:val="Compact"/>
              <w:jc w:val="right"/>
            </w:pPr>
            <w:r>
              <w:t xml:space="preserve">1,48</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V</w:t>
            </w:r>
          </w:p>
        </w:tc>
        <w:tc>
          <w:tcPr/>
          <w:p>
            <w:pPr>
              <w:pStyle w:val="Compact"/>
              <w:jc w:val="right"/>
            </w:pPr>
            <w:r>
              <w:t xml:space="preserve">154</w:t>
            </w:r>
          </w:p>
        </w:tc>
        <w:tc>
          <w:tcPr/>
          <w:p>
            <w:pPr>
              <w:pStyle w:val="Compact"/>
              <w:jc w:val="right"/>
            </w:pPr>
            <w:r>
              <w:t xml:space="preserve">5,8</w:t>
            </w:r>
          </w:p>
        </w:tc>
        <w:tc>
          <w:tcPr/>
          <w:p>
            <w:pPr>
              <w:pStyle w:val="Compact"/>
              <w:jc w:val="right"/>
            </w:pPr>
            <w:r>
              <w:t xml:space="preserve">4,5</w:t>
            </w:r>
          </w:p>
        </w:tc>
        <w:tc>
          <w:tcPr/>
          <w:p>
            <w:pPr>
              <w:pStyle w:val="Compact"/>
              <w:jc w:val="right"/>
            </w:pPr>
            <w:r>
              <w:t xml:space="preserve">22,4</w:t>
            </w:r>
          </w:p>
        </w:tc>
        <w:tc>
          <w:tcPr/>
          <w:p>
            <w:pPr>
              <w:pStyle w:val="Compact"/>
              <w:jc w:val="right"/>
            </w:pPr>
            <w:r>
              <w:rPr>
                <w:bCs/>
                <w:b/>
              </w:rPr>
              <w:t xml:space="preserve">73,4</w:t>
            </w:r>
          </w:p>
        </w:tc>
        <w:tc>
          <w:tcPr/>
          <w:p>
            <w:pPr>
              <w:pStyle w:val="Compact"/>
              <w:jc w:val="right"/>
            </w:pPr>
            <w:r>
              <w:t xml:space="preserve">1,38</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VI</w:t>
            </w:r>
          </w:p>
        </w:tc>
        <w:tc>
          <w:tcPr/>
          <w:p>
            <w:pPr>
              <w:pStyle w:val="Compact"/>
              <w:jc w:val="right"/>
            </w:pPr>
            <w:r>
              <w:t xml:space="preserve">151</w:t>
            </w:r>
          </w:p>
        </w:tc>
        <w:tc>
          <w:tcPr/>
          <w:p>
            <w:pPr>
              <w:pStyle w:val="Compact"/>
              <w:jc w:val="right"/>
            </w:pPr>
            <w:r>
              <w:t xml:space="preserve">12,5</w:t>
            </w:r>
          </w:p>
        </w:tc>
        <w:tc>
          <w:tcPr/>
          <w:p>
            <w:pPr>
              <w:pStyle w:val="Compact"/>
              <w:jc w:val="right"/>
            </w:pPr>
            <w:r>
              <w:t xml:space="preserve">9,9</w:t>
            </w:r>
          </w:p>
        </w:tc>
        <w:tc>
          <w:tcPr/>
          <w:p>
            <w:pPr>
              <w:pStyle w:val="Compact"/>
              <w:jc w:val="right"/>
            </w:pPr>
            <w:r>
              <w:t xml:space="preserve">18,8</w:t>
            </w:r>
          </w:p>
        </w:tc>
        <w:tc>
          <w:tcPr/>
          <w:p>
            <w:pPr>
              <w:pStyle w:val="Compact"/>
              <w:jc w:val="right"/>
            </w:pPr>
            <w:r>
              <w:rPr>
                <w:bCs/>
                <w:b/>
              </w:rPr>
              <w:t xml:space="preserve">74,8</w:t>
            </w:r>
          </w:p>
        </w:tc>
        <w:tc>
          <w:tcPr/>
          <w:p>
            <w:pPr>
              <w:pStyle w:val="Compact"/>
              <w:jc w:val="right"/>
            </w:pPr>
            <w:r>
              <w:t xml:space="preserve">1,12</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II</w:t>
            </w:r>
          </w:p>
        </w:tc>
        <w:tc>
          <w:tcPr/>
          <w:p>
            <w:pPr>
              <w:pStyle w:val="Compact"/>
              <w:jc w:val="right"/>
            </w:pPr>
            <w:r>
              <w:t xml:space="preserve">150</w:t>
            </w:r>
          </w:p>
        </w:tc>
        <w:tc>
          <w:tcPr/>
          <w:p>
            <w:pPr>
              <w:pStyle w:val="Compact"/>
              <w:jc w:val="right"/>
            </w:pPr>
            <w:r>
              <w:t xml:space="preserve">5,1</w:t>
            </w:r>
          </w:p>
        </w:tc>
        <w:tc>
          <w:tcPr/>
          <w:p>
            <w:pPr>
              <w:pStyle w:val="Compact"/>
              <w:jc w:val="right"/>
            </w:pPr>
            <w:r>
              <w:t xml:space="preserve">26,2</w:t>
            </w:r>
          </w:p>
        </w:tc>
        <w:tc>
          <w:tcPr/>
          <w:p>
            <w:pPr>
              <w:pStyle w:val="Compact"/>
              <w:jc w:val="right"/>
            </w:pPr>
            <w:r>
              <w:t xml:space="preserve">18,9</w:t>
            </w:r>
          </w:p>
        </w:tc>
        <w:tc>
          <w:tcPr/>
          <w:p>
            <w:pPr>
              <w:pStyle w:val="Compact"/>
              <w:jc w:val="right"/>
            </w:pPr>
            <w:r>
              <w:rPr>
                <w:bCs/>
                <w:b/>
              </w:rPr>
              <w:t xml:space="preserve">80,7</w:t>
            </w:r>
          </w:p>
        </w:tc>
        <w:tc>
          <w:tcPr/>
          <w:p>
            <w:pPr>
              <w:pStyle w:val="Compact"/>
              <w:jc w:val="right"/>
            </w:pPr>
            <w:r>
              <w:t xml:space="preserve">1,12</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II</w:t>
            </w:r>
          </w:p>
        </w:tc>
        <w:tc>
          <w:tcPr/>
          <w:p>
            <w:pPr>
              <w:pStyle w:val="Compact"/>
              <w:jc w:val="right"/>
            </w:pPr>
            <w:r>
              <w:t xml:space="preserve">150</w:t>
            </w:r>
          </w:p>
        </w:tc>
        <w:tc>
          <w:tcPr/>
          <w:p>
            <w:pPr>
              <w:pStyle w:val="Compact"/>
              <w:jc w:val="right"/>
            </w:pPr>
            <w:r>
              <w:rPr>
                <w:bCs/>
                <w:b/>
              </w:rPr>
              <w:t xml:space="preserve">0,4</w:t>
            </w:r>
          </w:p>
        </w:tc>
        <w:tc>
          <w:tcPr/>
          <w:p>
            <w:pPr>
              <w:pStyle w:val="Compact"/>
              <w:jc w:val="right"/>
            </w:pPr>
            <w:r>
              <w:t xml:space="preserve">0,0</w:t>
            </w:r>
          </w:p>
        </w:tc>
        <w:tc>
          <w:tcPr/>
          <w:p>
            <w:pPr>
              <w:pStyle w:val="Compact"/>
              <w:jc w:val="right"/>
            </w:pPr>
            <w:r>
              <w:t xml:space="preserve">20,7</w:t>
            </w:r>
          </w:p>
        </w:tc>
        <w:tc>
          <w:tcPr/>
          <w:p>
            <w:pPr>
              <w:pStyle w:val="Compact"/>
              <w:jc w:val="right"/>
            </w:pPr>
            <w:r>
              <w:t xml:space="preserve">69,3</w:t>
            </w:r>
          </w:p>
        </w:tc>
        <w:tc>
          <w:tcPr/>
          <w:p>
            <w:pPr>
              <w:pStyle w:val="Compact"/>
              <w:jc w:val="right"/>
            </w:pPr>
            <w:r>
              <w:t xml:space="preserve">1,16</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VI</w:t>
            </w:r>
          </w:p>
        </w:tc>
        <w:tc>
          <w:tcPr/>
          <w:p>
            <w:pPr>
              <w:pStyle w:val="Compact"/>
              <w:jc w:val="right"/>
            </w:pPr>
            <w:r>
              <w:t xml:space="preserve">150</w:t>
            </w:r>
          </w:p>
        </w:tc>
        <w:tc>
          <w:tcPr/>
          <w:p>
            <w:pPr>
              <w:pStyle w:val="Compact"/>
              <w:jc w:val="right"/>
            </w:pPr>
            <w:r>
              <w:t xml:space="preserve">4,8</w:t>
            </w:r>
          </w:p>
        </w:tc>
        <w:tc>
          <w:tcPr/>
          <w:p>
            <w:pPr>
              <w:pStyle w:val="Compact"/>
              <w:jc w:val="right"/>
            </w:pPr>
            <w:r>
              <w:t xml:space="preserve">20,0</w:t>
            </w:r>
          </w:p>
        </w:tc>
        <w:tc>
          <w:tcPr/>
          <w:p>
            <w:pPr>
              <w:pStyle w:val="Compact"/>
              <w:jc w:val="right"/>
            </w:pPr>
            <w:r>
              <w:t xml:space="preserve">11,3</w:t>
            </w:r>
          </w:p>
        </w:tc>
        <w:tc>
          <w:tcPr/>
          <w:p>
            <w:pPr>
              <w:pStyle w:val="Compact"/>
              <w:jc w:val="right"/>
            </w:pPr>
            <w:r>
              <w:t xml:space="preserve">53,3</w:t>
            </w:r>
          </w:p>
        </w:tc>
        <w:tc>
          <w:tcPr/>
          <w:p>
            <w:pPr>
              <w:pStyle w:val="Compact"/>
              <w:jc w:val="right"/>
            </w:pPr>
            <w:r>
              <w:t xml:space="preserve">1,29</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VI</w:t>
            </w:r>
          </w:p>
        </w:tc>
        <w:tc>
          <w:tcPr/>
          <w:p>
            <w:pPr>
              <w:pStyle w:val="Compact"/>
              <w:jc w:val="right"/>
            </w:pPr>
            <w:r>
              <w:rPr>
                <w:bCs/>
                <w:b/>
              </w:rPr>
              <w:t xml:space="preserve">150</w:t>
            </w:r>
          </w:p>
        </w:tc>
        <w:tc>
          <w:tcPr/>
          <w:p>
            <w:pPr>
              <w:pStyle w:val="Compact"/>
              <w:jc w:val="right"/>
            </w:pPr>
            <w:r>
              <w:rPr>
                <w:bCs/>
                <w:b/>
              </w:rPr>
              <w:t xml:space="preserve">1,0</w:t>
            </w:r>
          </w:p>
        </w:tc>
        <w:tc>
          <w:tcPr/>
          <w:p>
            <w:pPr>
              <w:pStyle w:val="Compact"/>
              <w:jc w:val="right"/>
            </w:pPr>
            <w:r>
              <w:rPr>
                <w:bCs/>
                <w:b/>
              </w:rPr>
              <w:t xml:space="preserve">0,7</w:t>
            </w:r>
          </w:p>
        </w:tc>
        <w:tc>
          <w:tcPr/>
          <w:p>
            <w:pPr>
              <w:pStyle w:val="Compact"/>
              <w:jc w:val="right"/>
            </w:pPr>
            <w:r>
              <w:rPr>
                <w:bCs/>
                <w:b/>
              </w:rPr>
              <w:t xml:space="preserve">8,0</w:t>
            </w:r>
          </w:p>
        </w:tc>
        <w:tc>
          <w:tcPr/>
          <w:p>
            <w:pPr>
              <w:pStyle w:val="Compact"/>
              <w:jc w:val="right"/>
            </w:pPr>
            <w:r>
              <w:rPr>
                <w:bCs/>
                <w:b/>
              </w:rPr>
              <w:t xml:space="preserve">18,7</w:t>
            </w:r>
          </w:p>
        </w:tc>
        <w:tc>
          <w:tcPr/>
          <w:p>
            <w:pPr>
              <w:pStyle w:val="Compact"/>
              <w:jc w:val="right"/>
            </w:pPr>
            <w:r>
              <w:rPr>
                <w:bCs/>
                <w:b/>
              </w:rPr>
              <w:t xml:space="preserve">1,48</w:t>
            </w:r>
          </w:p>
        </w:tc>
      </w:tr>
    </w:tbl>
    <w:p>
      <w:pPr>
        <w:pStyle w:val="BodyText"/>
      </w:pPr>
      <w:r>
        <w:rPr>
          <w:iCs/>
          <w:i/>
        </w:rPr>
        <w:t xml:space="preserve">¹ Độ lệch chuẩn ln(năng suất lao động) trong đợt, bất biến tiền tệ, so sánh được giữa các nền kinh tế. Ghi chú: đợt khảo sát Nepal 2025 dùng bảng hỏi BREADY Micro (doanh nghiệp siêu nhỏ, n=1.740; ~10% bán ra thị trường quốc tế theo biến nhị phân</w:t>
      </w:r>
      <w:r>
        <w:rPr>
          <w:iCs/>
          <w:i/>
        </w:rPr>
        <w:t xml:space="preserve"> </w:t>
      </w:r>
      <w:r>
        <w:rPr>
          <w:rStyle w:val="VerbatimChar"/>
          <w:iCs/>
          <w:i/>
        </w:rPr>
        <w:t xml:space="preserve">me1c</w:t>
      </w:r>
      <w:r>
        <w:rPr>
          <w:iCs/>
          <w:i/>
        </w:rPr>
        <w:t xml:space="preserve">, 22,6% dùng máy tính/tablet), bộ công cụ không tương đương với lát cắt ngang chuẩn nên không thuộc mẫu gộp mô tả và chỉ nêu ở đây như tham chiếu.</w:t>
      </w:r>
    </w:p>
    <w:p>
      <w:pPr>
        <w:pStyle w:val="BodyText"/>
      </w:pPr>
      <w:r>
        <w:t xml:space="preserve">Bảy phát hiện từ đợt 2025: (1) Ấn Độ FSTS sụt 5 điểm phần trăm so với đợt 2022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xác nhận đặc trưng Advanced tài nguyên dẫn dắt, Saudi Arabia và Qatar có phân tán năng suất hẹp nhất toàn mẫu gộp (0,49 và 0,33); (5) tỷ lệ R&amp;D tăng đột biến ở một số nền (Afghanistan 25,1%, Kuwait 20,7%) là dấu hiệu ước lượng quá mức do bảng hỏi (schema-induced overestimation) cần kiểm chứng; (6) đợt 2025 là tập xác thực ngoài mẫu tự nhiên cho Chuyên đề 2; (7)</w:t>
      </w:r>
      <w:r>
        <w:t xml:space="preserve"> </w:t>
      </w:r>
      <w:r>
        <w:rPr>
          <w:bCs/>
          <w:b/>
        </w:rPr>
        <w:t xml:space="preserve">Kiribati cực đoan, FSTS 1,0%,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p>
    <w:p>
      <w:r>
        <w:pict>
          <v:rect style="width:0;height:1.5pt" o:hralign="center" o:hrstd="t" o:hr="t"/>
        </w:pict>
      </w:r>
    </w:p>
    <w:bookmarkEnd w:id="81"/>
    <w:bookmarkEnd w:id="82"/>
    <w:bookmarkStart w:id="94" w:name="bảy-trường-hợp-điển-hình"/>
    <w:p>
      <w:pPr>
        <w:pStyle w:val="Heading3"/>
      </w:pPr>
      <w:r>
        <w:t xml:space="preserve">2.3.7 Bảy trường hợp điển hình</w:t>
      </w:r>
    </w:p>
    <w:bookmarkStart w:id="83"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trong đợt 1,08.</w:t>
      </w:r>
      <w:r>
        <w:t xml:space="preserve"> </w:t>
      </w:r>
      <w:r>
        <w:rPr>
          <w:bCs/>
          <w:b/>
        </w:rPr>
        <w:t xml:space="preserve">Biên trên</w:t>
      </w:r>
      <w:r>
        <w:t xml:space="preserve"> </w:t>
      </w:r>
      <w:r>
        <w:t xml:space="preserve">của nhóm Advanced đổi mới sáng tạo dẫn dắt. Theo nghiên cứu Singapore (Mar, Đỗ &amp; Phan, 2026, mục tiêu MIR): R² hiệu chỉnh = 0,196; tương tác FSTS² × DAI = 3,119 (p=0,005);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Bậc 3–4, vượt xa lớp DAI Bậc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83"/>
    <w:bookmarkStart w:id="84"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w:t>
            </w:r>
            <w:r>
              <w:t xml:space="preserve"> </w:t>
            </w:r>
            <m:oMath>
              <m:r>
                <m:rPr>
                  <m:sty m:val="p"/>
                </m:rPr>
                <m:t>≥</m:t>
              </m:r>
            </m:oMath>
            <w:r>
              <w:t xml:space="preserve">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suất¹</w:t>
            </w:r>
          </w:p>
        </w:tc>
        <w:tc>
          <w:tcPr/>
          <w:p>
            <w:pPr>
              <w:pStyle w:val="Compact"/>
              <w:jc w:val="left"/>
            </w:pPr>
            <w:r>
              <w:rPr>
                <w:bCs/>
                <w:b/>
              </w:rPr>
              <w:t xml:space="preserve">0,49</w:t>
            </w:r>
          </w:p>
        </w:tc>
        <w:tc>
          <w:tcPr/>
          <w:p>
            <w:pPr>
              <w:pStyle w:val="Compact"/>
              <w:jc w:val="left"/>
            </w:pPr>
            <w:r>
              <w:rPr>
                <w:bCs/>
                <w:b/>
              </w:rPr>
              <w:t xml:space="preserve">0,33</w:t>
            </w:r>
          </w:p>
        </w:tc>
        <w:tc>
          <w:tcPr/>
          <w:p>
            <w:pPr>
              <w:pStyle w:val="Compact"/>
              <w:jc w:val="left"/>
            </w:pPr>
            <w:r>
              <w:t xml:space="preserve">1,16</w:t>
            </w:r>
          </w:p>
        </w:tc>
        <w:tc>
          <w:tcPr/>
          <w:p>
            <w:pPr>
              <w:pStyle w:val="Compact"/>
              <w:jc w:val="left"/>
            </w:pPr>
            <w:r>
              <w:t xml:space="preserve">1,08</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84"/>
    <w:bookmarkStart w:id="85" w:name="Xe1a6b3bf1bcf4130ec6b6d388ec0cfa0be7fe18"/>
    <w:p>
      <w:pPr>
        <w:pStyle w:val="Heading4"/>
      </w:pPr>
      <w:r>
        <w:t xml:space="preserve">2.3.7.3 Việt Nam (3 đợt khảo sát 2009/2015/2023; mẫu gộp mô tả n=3.077, mẫu phân tích của nghiên cứu Việt Nam n=2.958): cập nhật ADB Vietnam Outlook 2026</w:t>
      </w:r>
    </w:p>
    <w:p>
      <w:pPr>
        <w:pStyle w:val="FirstParagraph"/>
      </w:pPr>
      <w:r>
        <w:t xml:space="preserve">FSTS 23,2% rồi 17,9% rồi 16,1% (suy giảm theo thời gian); doanh nghiệp xuất khẩu 37,1% rồi 23,8%; ISO 17–23%; R&amp;D 6,1% (2023). Khuôn mẫu</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 Báo cáo</w:t>
      </w:r>
      <w:r>
        <w:t xml:space="preserve"> </w:t>
      </w:r>
      <w:r>
        <w:rPr>
          <w:iCs/>
          <w:i/>
        </w:rPr>
        <w:t xml:space="preserve">Taking Stock</w:t>
      </w:r>
      <w:r>
        <w:t xml:space="preserve"> </w:t>
      </w:r>
      <w:r>
        <w:t xml:space="preserve">tháng 9/2025 nhấn mạnh nhân lực công nghệ cao là nút thắt để Việt Nam dịch chuyển từ lắp ráp sang thiết kế và R&amp;D (World Bank, 2025a), nhất quán với hàm ý sequencing năng lực (TCI trước FSTS) của chuyên đề; snapshot kinh tế Data360 xác nhận vị thế thu nhập trung bình thấp với GNI bình quân 4.180 USD năm 2023, đúng ngưỡng Nhóm IV của khung ICRV (World Bank, 2026).</w:t>
      </w:r>
    </w:p>
    <w:bookmarkEnd w:id="85"/>
    <w:bookmarkStart w:id="86" w:name="X6c40c201817921434380e55aec36ff2dee88100"/>
    <w:p>
      <w:pPr>
        <w:pStyle w:val="Heading4"/>
      </w:pPr>
      <w:r>
        <w:t xml:space="preserve">2.3.7.4 Trung Quốc (mẫu phân tích của nghiên cứu Trung Quốc n=4.544; mẫu gộp mô tả gồm đợt 2024, n=2.189)</w:t>
      </w:r>
    </w:p>
    <w:p>
      <w:pPr>
        <w:pStyle w:val="FirstParagraph"/>
      </w:pPr>
      <w:r>
        <w:t xml:space="preserve">FSTS 10,9% rồi 8,8%; FDI ≥10%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86"/>
    <w:bookmarkStart w:id="87" w:name="Xb1ea89452bf1110bc1349552d40001f4d757b22"/>
    <w:p>
      <w:pPr>
        <w:pStyle w:val="Heading4"/>
      </w:pPr>
      <w:r>
        <w:t xml:space="preserve">2.3.7.5 Tổng hợp khối châu Á mới nổi (7 nền, n=43.502): trường hợp Ấn Độ</w:t>
      </w:r>
    </w:p>
    <w:p>
      <w:pPr>
        <w:pStyle w:val="FirstParagraph"/>
      </w:pPr>
      <w:r>
        <w:t xml:space="preserve">FSTS 8,2%; FDI ≥10% chiếm 3,5%; tỷ lệ doanh nghiệp R&amp;D dương 16,5%. Phân tán năng suất trong đợt ở mức cao (trung vị 1,31) và dao động mạnh giữa ba phân nhóm con (1,25–1,47), phản ánh dị biệt rộng xuyên 7 nền (Bảng 2.3.6.4).</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dữ liệu bảng 4.293 doanh nghiệp Ấn Độ 2006–2019: FDI là kênh lan tỏa ngang quan trọng nhất; doanh nghiệp lớn thu nhận lan tỏa nhiều hơn; FDI tăng từ 1,705 triệu USD (1990–2000) rồi 42,396 triệu USD (2012–2022); R&amp;D trì trệ ở 0,7% GDP.</w:t>
      </w:r>
    </w:p>
    <w:bookmarkEnd w:id="87"/>
    <w:bookmarkStart w:id="91" w:name="X654632a5ff13cfc4a4585d50f734613d84a6955"/>
    <w:p>
      <w:pPr>
        <w:pStyle w:val="Heading4"/>
      </w:pPr>
      <w:r>
        <w:t xml:space="preserve">2.3.7.6 Mông Cổ: từ lời nguyền tài nguyên đến khoáng sản thiết yếu (n=1.082, 3 đợt 2009/2013/2019)</w:t>
      </w:r>
    </w:p>
    <w:p>
      <w:pPr>
        <w:pStyle w:val="FirstParagraph"/>
      </w:pPr>
      <w:r>
        <w:t xml:space="preserve">FSTS đình trệ 4–6% (5,8% rồi 3,9% rồi 4,2%); FDI ≥10% giảm</w:t>
      </w:r>
      <w:r>
        <w:t xml:space="preserve"> </w:t>
      </w:r>
      <w:r>
        <w:rPr>
          <w:bCs/>
          <w:b/>
        </w:rPr>
        <w:t xml:space="preserve">7,2% rồi 4,2%</w:t>
      </w:r>
      <w:r>
        <w:t xml:space="preserve">; website dao động 39–49%. Khuôn mẫu</w:t>
      </w:r>
      <w:r>
        <w:t xml:space="preserve"> </w:t>
      </w:r>
      <w:r>
        <w:rPr>
          <w:bCs/>
          <w:b/>
        </w:rPr>
        <w:t xml:space="preserve">lời nguyền tài nguyên</w:t>
      </w:r>
      <w:r>
        <w:t xml:space="preserve"> </w:t>
      </w:r>
      <w:r>
        <w:t xml:space="preserve">(Sachs &amp; Warner, 2001).</w:t>
      </w:r>
    </w:p>
    <w:p>
      <w:pPr>
        <w:pStyle w:val="CaptionedFigure"/>
      </w:pPr>
      <w:r>
        <w:drawing>
          <wp:inline>
            <wp:extent cx="5753100" cy="3634710"/>
            <wp:effectExtent b="0" l="0" r="0" t="0"/>
            <wp:docPr descr="Hình 2.3.7.1. Mông Cổ: tiến triển 2009–2019." title="" id="89" name="Picture"/>
            <a:graphic>
              <a:graphicData uri="http://schemas.openxmlformats.org/drawingml/2006/picture">
                <pic:pic>
                  <pic:nvPicPr>
                    <pic:cNvPr descr="figures/hinh_2_3_7_1.png" id="90" name="Picture"/>
                    <pic:cNvPicPr>
                      <a:picLocks noChangeArrowheads="1" noChangeAspect="1"/>
                    </pic:cNvPicPr>
                  </pic:nvPicPr>
                  <pic:blipFill>
                    <a:blip r:embed="rId88"/>
                    <a:stretch>
                      <a:fillRect/>
                    </a:stretch>
                  </pic:blipFill>
                  <pic:spPr bwMode="auto">
                    <a:xfrm>
                      <a:off x="0" y="0"/>
                      <a:ext cx="5753100" cy="3634710"/>
                    </a:xfrm>
                    <a:prstGeom prst="rect">
                      <a:avLst/>
                    </a:prstGeom>
                    <a:noFill/>
                    <a:ln w="9525">
                      <a:noFill/>
                      <a:headEnd/>
                      <a:tailEnd/>
                    </a:ln>
                  </pic:spPr>
                </pic:pic>
              </a:graphicData>
            </a:graphic>
          </wp:inline>
        </w:drawing>
      </w:r>
    </w:p>
    <w:p>
      <w:pPr>
        <w:pStyle w:val="ImageCaption"/>
      </w:pPr>
      <w:r>
        <w:t xml:space="preserve">Hình 2.3.7.1. Mông Cổ: tiến triển 2009–2019.</w:t>
      </w:r>
    </w:p>
    <w:p>
      <w:pPr>
        <w:pStyle w:val="BodyText"/>
      </w:pPr>
      <w:r>
        <w:rPr>
          <w:iCs/>
          <w:i/>
        </w:rPr>
        <w:t xml:space="preserve">Hình 2.3.7.1. Mông Cổ: tiến triển 2009–2019 (3 đợt khảo sát WBES), FSTS đình trệ; FDI giảm dần phản ánh lời nguyền tài nguyên giai đoạn 1.</w:t>
      </w:r>
    </w:p>
    <w:bookmarkEnd w:id="91"/>
    <w:bookmarkStart w:id="92" w:name="sids-thái-bình-dương-7-nền-n1.781"/>
    <w:p>
      <w:pPr>
        <w:pStyle w:val="Heading4"/>
      </w:pPr>
      <w:r>
        <w:t xml:space="preserve">2.3.7.7 SIDS Thái Bình Dương (7 nền: n=1.781)</w:t>
      </w:r>
    </w:p>
    <w:p>
      <w:pPr>
        <w:pStyle w:val="FirstParagraph"/>
      </w:pPr>
      <w:r>
        <w:rPr>
          <w:bCs/>
          <w:b/>
        </w:rPr>
        <w:t xml:space="preserve">7 nền</w:t>
      </w:r>
      <w:r>
        <w:t xml:space="preserve">: Fiji (FJI), Papua New Guinea (PNG), Solomon Islands (SLB), Tonga (TON), Vanuatu (VUT), Samoa (WSM),</w:t>
      </w:r>
      <w:r>
        <w:t xml:space="preserve"> </w:t>
      </w:r>
      <w:r>
        <w:rPr>
          <w:bCs/>
          <w:b/>
        </w:rPr>
        <w:t xml:space="preserve">Kiribati (KIR, 2025)</w:t>
      </w:r>
      <w:r>
        <w:t xml:space="preserve">. FSTS 6,2%; FDI ≥10%</w:t>
      </w:r>
      <w:r>
        <w:t xml:space="preserve"> </w:t>
      </w:r>
      <w:r>
        <w:rPr>
          <w:bCs/>
          <w:b/>
        </w:rPr>
        <w:t xml:space="preserve">22,9%</w:t>
      </w:r>
      <w:r>
        <w:t xml:space="preserve">; đổi mới sản phẩm</w:t>
      </w:r>
      <w:r>
        <w:t xml:space="preserve"> </w:t>
      </w:r>
      <w:r>
        <w:rPr>
          <w:bCs/>
          <w:b/>
        </w:rPr>
        <w:t xml:space="preserve">39,6%</w:t>
      </w:r>
      <w:r>
        <w:t xml:space="preserve">; website</w:t>
      </w:r>
      <w:r>
        <w:t xml:space="preserve"> </w:t>
      </w:r>
      <w:r>
        <w:rPr>
          <w:bCs/>
          <w:b/>
        </w:rPr>
        <w:t xml:space="preserve">47,1%</w:t>
      </w:r>
      <w:r>
        <w:t xml:space="preserve">. Khuôn mẫu</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 FDI 0,7%, website 18,7%, ISO 1,4%, độ lệch chuẩn log trong đợt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92"/>
    <w:bookmarkStart w:id="93"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trường hợp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Khối mới nổi (7 nền)</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2.189</w:t>
            </w:r>
          </w:p>
        </w:tc>
        <w:tc>
          <w:tcPr/>
          <w:p>
            <w:pPr>
              <w:pStyle w:val="Compact"/>
              <w:jc w:val="left"/>
            </w:pPr>
            <w:r>
              <w:t xml:space="preserve">43.502</w:t>
            </w:r>
          </w:p>
        </w:tc>
        <w:tc>
          <w:tcPr/>
          <w:p>
            <w:pPr>
              <w:pStyle w:val="Compact"/>
              <w:jc w:val="left"/>
            </w:pPr>
            <w:r>
              <w:t xml:space="preserve">1.082</w:t>
            </w:r>
          </w:p>
        </w:tc>
        <w:tc>
          <w:tcPr/>
          <w:p>
            <w:pPr>
              <w:pStyle w:val="Compact"/>
              <w:jc w:val="left"/>
            </w:pPr>
            <w:r>
              <w:rPr>
                <w:bCs/>
                <w:b/>
              </w:rPr>
              <w:t xml:space="preserve">1.781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rPr>
                <w:bCs/>
                <w:b/>
              </w:rPr>
              <w:t xml:space="preserve">19,1</w:t>
            </w:r>
          </w:p>
        </w:tc>
        <w:tc>
          <w:tcPr/>
          <w:p>
            <w:pPr>
              <w:pStyle w:val="Compact"/>
              <w:jc w:val="left"/>
            </w:pPr>
            <w:r>
              <w:t xml:space="preserve">8,8</w:t>
            </w:r>
          </w:p>
        </w:tc>
        <w:tc>
          <w:tcPr/>
          <w:p>
            <w:pPr>
              <w:pStyle w:val="Compact"/>
              <w:jc w:val="left"/>
            </w:pPr>
            <w:r>
              <w:t xml:space="preserve">8,2</w:t>
            </w:r>
          </w:p>
        </w:tc>
        <w:tc>
          <w:tcPr/>
          <w:p>
            <w:pPr>
              <w:pStyle w:val="Compact"/>
              <w:jc w:val="left"/>
            </w:pPr>
            <w:r>
              <w:t xml:space="preserve">4,7</w:t>
            </w:r>
          </w:p>
        </w:tc>
        <w:tc>
          <w:tcPr/>
          <w:p>
            <w:pPr>
              <w:pStyle w:val="Compact"/>
              <w:jc w:val="left"/>
            </w:pPr>
            <w:r>
              <w:t xml:space="preserve">6,2</w:t>
            </w:r>
          </w:p>
        </w:tc>
        <w:tc>
          <w:tcPr/>
          <w:p>
            <w:pPr>
              <w:pStyle w:val="Compact"/>
              <w:jc w:val="left"/>
            </w:pPr>
            <w:r>
              <w:rPr>
                <w:bCs/>
                <w:b/>
              </w:rPr>
              <w:t xml:space="preserve">2,4</w:t>
            </w:r>
          </w:p>
        </w:tc>
      </w:tr>
      <w:tr>
        <w:tc>
          <w:tcPr/>
          <w:p>
            <w:pPr>
              <w:pStyle w:val="Compact"/>
              <w:jc w:val="left"/>
            </w:pPr>
            <w:r>
              <w:t xml:space="preserve">FDI</w:t>
            </w:r>
            <w:r>
              <w:t xml:space="preserve"> </w:t>
            </w:r>
            <m:oMath>
              <m:r>
                <m:rPr>
                  <m:sty m:val="p"/>
                </m:rPr>
                <m:t>≥</m:t>
              </m:r>
            </m:oMath>
            <w:r>
              <w:t xml:space="preserve">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3,5</w:t>
            </w:r>
          </w:p>
        </w:tc>
        <w:tc>
          <w:tcPr/>
          <w:p>
            <w:pPr>
              <w:pStyle w:val="Compact"/>
              <w:jc w:val="left"/>
            </w:pPr>
            <w:r>
              <w:t xml:space="preserve">5,7</w:t>
            </w:r>
          </w:p>
        </w:tc>
        <w:tc>
          <w:tcPr/>
          <w:p>
            <w:pPr>
              <w:pStyle w:val="Compact"/>
              <w:jc w:val="left"/>
            </w:pPr>
            <w:r>
              <w:rPr>
                <w:bCs/>
                <w:b/>
              </w:rPr>
              <w:t xml:space="preserve">22,9</w:t>
            </w:r>
          </w:p>
        </w:tc>
        <w:tc>
          <w:tcPr/>
          <w:p>
            <w:pPr>
              <w:pStyle w:val="Compact"/>
              <w:jc w:val="left"/>
            </w:pPr>
            <w: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t xml:space="preserve">6,1</w:t>
            </w:r>
          </w:p>
        </w:tc>
        <w:tc>
          <w:tcPr/>
          <w:p>
            <w:pPr>
              <w:pStyle w:val="Compact"/>
              <w:jc w:val="left"/>
            </w:pPr>
            <w:r>
              <w:rPr>
                <w:bCs/>
                <w:b/>
              </w:rPr>
              <w:t xml:space="preserve">39,4</w:t>
            </w:r>
          </w:p>
        </w:tc>
        <w:tc>
          <w:tcPr/>
          <w:p>
            <w:pPr>
              <w:pStyle w:val="Compact"/>
              <w:jc w:val="left"/>
            </w:pPr>
            <w:r>
              <w:t xml:space="preserve">16,5</w:t>
            </w:r>
          </w:p>
        </w:tc>
        <w:tc>
          <w:tcPr/>
          <w:p>
            <w:pPr>
              <w:pStyle w:val="Compact"/>
              <w:jc w:val="left"/>
            </w:pPr>
            <w:r>
              <w:rPr>
                <w:bCs/>
                <w:b/>
              </w:rPr>
              <w:t xml:space="preserve">33,7</w:t>
            </w:r>
          </w:p>
        </w:tc>
        <w:tc>
          <w:tcPr/>
          <w:p>
            <w:pPr>
              <w:pStyle w:val="Compact"/>
              <w:jc w:val="left"/>
            </w:pPr>
            <w:r>
              <w:t xml:space="preserve">11,5</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rPr>
                <w:bCs/>
                <w:b/>
              </w:rPr>
              <w:t xml:space="preserve">66,1</w:t>
            </w:r>
          </w:p>
        </w:tc>
        <w:tc>
          <w:tcPr/>
          <w:p>
            <w:pPr>
              <w:pStyle w:val="Compact"/>
              <w:jc w:val="left"/>
            </w:pPr>
            <w:r>
              <w:t xml:space="preserve">47,0</w:t>
            </w:r>
          </w:p>
        </w:tc>
        <w:tc>
          <w:tcPr/>
          <w:p>
            <w:pPr>
              <w:pStyle w:val="Compact"/>
              <w:jc w:val="left"/>
            </w:pPr>
            <w:r>
              <w:t xml:space="preserve">42,0</w:t>
            </w:r>
          </w:p>
        </w:tc>
        <w:tc>
          <w:tcPr/>
          <w:p>
            <w:pPr>
              <w:pStyle w:val="Compact"/>
              <w:jc w:val="left"/>
            </w:pPr>
            <w:r>
              <w:t xml:space="preserve">49,4</w:t>
            </w:r>
          </w:p>
        </w:tc>
        <w:tc>
          <w:tcPr/>
          <w:p>
            <w:pPr>
              <w:pStyle w:val="Compact"/>
              <w:jc w:val="left"/>
            </w:pPr>
            <w:r>
              <w:t xml:space="preserve">43,6</w:t>
            </w:r>
          </w:p>
        </w:tc>
        <w:tc>
          <w:tcPr/>
          <w:p>
            <w:pPr>
              <w:pStyle w:val="Compact"/>
              <w:jc w:val="left"/>
            </w:pPr>
            <w:r>
              <w:t xml:space="preserve">47,1</w:t>
            </w:r>
          </w:p>
        </w:tc>
        <w:tc>
          <w:tcPr/>
          <w:p>
            <w:pPr>
              <w:pStyle w:val="Compact"/>
              <w:jc w:val="left"/>
            </w:pPr>
            <w:r>
              <w:t xml:space="preserve">43,6</w:t>
            </w:r>
          </w:p>
        </w:tc>
      </w:tr>
      <w:tr>
        <w:tc>
          <w:tcPr/>
          <w:p>
            <w:pPr>
              <w:pStyle w:val="Compact"/>
              <w:jc w:val="left"/>
            </w:pPr>
            <w:r>
              <w:t xml:space="preserve">sd ln(LP) trong đợt¹</w:t>
            </w:r>
          </w:p>
        </w:tc>
        <w:tc>
          <w:tcPr/>
          <w:p>
            <w:pPr>
              <w:pStyle w:val="Compact"/>
              <w:jc w:val="left"/>
            </w:pPr>
            <w:r>
              <w:rPr>
                <w:bCs/>
                <w:b/>
              </w:rPr>
              <w:t xml:space="preserve">1,08</w:t>
            </w:r>
          </w:p>
        </w:tc>
        <w:tc>
          <w:tcPr/>
          <w:p>
            <w:pPr>
              <w:pStyle w:val="Compact"/>
              <w:jc w:val="left"/>
            </w:pPr>
            <w:r>
              <w:t xml:space="preserve">1,46</w:t>
            </w:r>
          </w:p>
        </w:tc>
        <w:tc>
          <w:tcPr/>
          <w:p>
            <w:pPr>
              <w:pStyle w:val="Compact"/>
              <w:jc w:val="left"/>
            </w:pPr>
            <w:r>
              <w:t xml:space="preserve">1,36</w:t>
            </w:r>
          </w:p>
        </w:tc>
        <w:tc>
          <w:tcPr/>
          <w:p>
            <w:pPr>
              <w:pStyle w:val="Compact"/>
              <w:jc w:val="left"/>
            </w:pPr>
            <w:r>
              <w:t xml:space="preserve">1,31</w:t>
            </w:r>
          </w:p>
        </w:tc>
        <w:tc>
          <w:tcPr/>
          <w:p>
            <w:pPr>
              <w:pStyle w:val="Compact"/>
              <w:jc w:val="left"/>
            </w:pPr>
            <w:r>
              <w:t xml:space="preserve">1,27</w:t>
            </w:r>
          </w:p>
        </w:tc>
        <w:tc>
          <w:tcPr/>
          <w:p>
            <w:pPr>
              <w:pStyle w:val="Compact"/>
              <w:jc w:val="left"/>
            </w:pPr>
            <w:r>
              <w:t xml:space="preserve">1,29</w:t>
            </w:r>
          </w:p>
        </w:tc>
        <w:tc>
          <w:tcPr/>
          <w:p>
            <w:pPr>
              <w:pStyle w:val="Compact"/>
              <w:jc w:val="left"/>
            </w:pPr>
            <w:r>
              <w:rPr>
                <w:bCs/>
                <w:b/>
              </w:rPr>
              <w:t xml:space="preserve">0,49</w:t>
            </w:r>
          </w:p>
        </w:tc>
      </w:tr>
    </w:tbl>
    <w:p>
      <w:pPr>
        <w:pStyle w:val="BodyText"/>
      </w:pPr>
      <w:r>
        <w:rPr>
          <w:iCs/>
          <w:i/>
        </w:rPr>
        <w:t xml:space="preserve">¹ Trung vị độ lệch chuẩn ln(năng suất lao động) trong từng đợt khảo sát (bất biến tiền tệ). Hàng SIDS gồm 7 nền Pacific (bao gồm Kiribati 2025); cột Saudi+Qatar+Kuwait lấy trung vị ba đợt 2025.</w:t>
      </w:r>
    </w:p>
    <w:p>
      <w:r>
        <w:pict>
          <v:rect style="width:0;height:1.5pt" o:hralign="center" o:hrstd="t" o:hr="t"/>
        </w:pict>
      </w:r>
    </w:p>
    <w:bookmarkEnd w:id="93"/>
    <w:bookmarkEnd w:id="94"/>
    <w:bookmarkStart w:id="98" w:name="yếu-tố-giải-thích-sơ-bộ"/>
    <w:p>
      <w:pPr>
        <w:pStyle w:val="Heading3"/>
      </w:pPr>
      <w:r>
        <w:t xml:space="preserve">2.3.8 Yếu tố giải thích sơ bộ</w:t>
      </w:r>
    </w:p>
    <w:bookmarkStart w:id="95" w:name="hệ-số-tương-quan-pearson"/>
    <w:p>
      <w:pPr>
        <w:pStyle w:val="Heading4"/>
      </w:pPr>
      <w:r>
        <w:t xml:space="preserve">2.3.8.1 Hệ số tương quan Pearson</w:t>
      </w:r>
    </w:p>
    <w:p>
      <w:pPr>
        <w:pStyle w:val="FirstParagraph"/>
      </w:pPr>
      <w:r>
        <w:t xml:space="preserve">Tương quan giữa năng suất và bốn yếu tố giải thích được tính trên năng suất chuẩn hóa điểm z trong từng cặp nền kinh tế × năm (bất biến tiền tệ), gộp theo 6 nhóm ICRV của mẫu gộp mô tả.</w:t>
      </w:r>
    </w:p>
    <w:p>
      <w:pPr>
        <w:pStyle w:val="BodyText"/>
      </w:pPr>
      <w:r>
        <w:rPr>
          <w:bCs/>
          <w:b/>
        </w:rPr>
        <w:t xml:space="preserve">Bảng 2.3.8.1</w:t>
      </w:r>
      <w:r>
        <w:t xml:space="preserve">.</w:t>
      </w:r>
      <w:r>
        <w:t xml:space="preserve"> </w:t>
      </w:r>
      <w:r>
        <w:rPr>
          <w:iCs/>
          <w:i/>
        </w:rPr>
        <w:t xml:space="preserve">Hệ số tương quan Pearson giữa năng suất lao động chuẩn hóa (LP-z) và bốn yếu tố giải thích, theo nhóm ICRV (mẫu gộp mô tả 50 nền).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Yếu tố</w:t>
            </w:r>
          </w:p>
        </w:tc>
        <w:tc>
          <w:tcPr/>
          <w:p>
            <w:pPr>
              <w:pStyle w:val="Compact"/>
              <w:jc w:val="right"/>
            </w:pPr>
            <w:r>
              <w:t xml:space="preserve">I, Adv. đổi mới</w:t>
            </w:r>
          </w:p>
        </w:tc>
        <w:tc>
          <w:tcPr/>
          <w:p>
            <w:pPr>
              <w:pStyle w:val="Compact"/>
              <w:jc w:val="right"/>
            </w:pPr>
            <w:r>
              <w:t xml:space="preserve">II, Adv. tài nguyên</w:t>
            </w:r>
          </w:p>
        </w:tc>
        <w:tc>
          <w:tcPr/>
          <w:p>
            <w:pPr>
              <w:pStyle w:val="Compact"/>
              <w:jc w:val="right"/>
            </w:pPr>
            <w:r>
              <w:t xml:space="preserve">III, Trung bình cao</w:t>
            </w:r>
          </w:p>
        </w:tc>
        <w:tc>
          <w:tcPr/>
          <w:p>
            <w:pPr>
              <w:pStyle w:val="Compact"/>
              <w:jc w:val="right"/>
            </w:pPr>
            <w:r>
              <w:t xml:space="preserve">IV, Chuyển đổi TB-thấp</w:t>
            </w:r>
          </w:p>
        </w:tc>
        <w:tc>
          <w:tcPr/>
          <w:p>
            <w:pPr>
              <w:pStyle w:val="Compact"/>
              <w:jc w:val="right"/>
            </w:pPr>
            <w:r>
              <w:t xml:space="preserve">V, Đang nổi</w:t>
            </w:r>
          </w:p>
        </w:tc>
        <w:tc>
          <w:tcPr/>
          <w:p>
            <w:pPr>
              <w:pStyle w:val="Compact"/>
              <w:jc w:val="right"/>
            </w:pPr>
            <w:r>
              <w:t xml:space="preserve">VI, 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right"/>
            </w:pPr>
            <w:r>
              <w:t xml:space="preserve">+0,105**</w:t>
            </w:r>
          </w:p>
        </w:tc>
        <w:tc>
          <w:tcPr/>
          <w:p>
            <w:pPr>
              <w:pStyle w:val="Compact"/>
              <w:jc w:val="right"/>
            </w:pPr>
            <w:r>
              <w:t xml:space="preserve">+0,114**</w:t>
            </w:r>
          </w:p>
        </w:tc>
        <w:tc>
          <w:tcPr/>
          <w:p>
            <w:pPr>
              <w:pStyle w:val="Compact"/>
              <w:jc w:val="right"/>
            </w:pPr>
            <w:r>
              <w:t xml:space="preserve">+0,067**</w:t>
            </w:r>
          </w:p>
        </w:tc>
        <w:tc>
          <w:tcPr/>
          <w:p>
            <w:pPr>
              <w:pStyle w:val="Compact"/>
              <w:jc w:val="right"/>
            </w:pPr>
            <w:r>
              <w:t xml:space="preserve">+0,086**</w:t>
            </w:r>
          </w:p>
        </w:tc>
        <w:tc>
          <w:tcPr/>
          <w:p>
            <w:pPr>
              <w:pStyle w:val="Compact"/>
              <w:jc w:val="right"/>
            </w:pPr>
            <w:r>
              <w:t xml:space="preserve">+0,057**</w:t>
            </w:r>
          </w:p>
        </w:tc>
        <w:tc>
          <w:tcPr/>
          <w:p>
            <w:pPr>
              <w:pStyle w:val="Compact"/>
              <w:jc w:val="right"/>
            </w:pPr>
            <w:r>
              <w:t xml:space="preserve">+0,104**</w:t>
            </w:r>
          </w:p>
        </w:tc>
      </w:tr>
      <w:tr>
        <w:tc>
          <w:tcPr/>
          <w:p>
            <w:pPr>
              <w:pStyle w:val="Compact"/>
              <w:jc w:val="left"/>
            </w:pPr>
            <w:r>
              <w:t xml:space="preserve">FSTS</w:t>
            </w:r>
          </w:p>
        </w:tc>
        <w:tc>
          <w:tcPr/>
          <w:p>
            <w:pPr>
              <w:pStyle w:val="Compact"/>
              <w:jc w:val="right"/>
            </w:pPr>
            <w:r>
              <w:rPr>
                <w:bCs/>
                <w:b/>
              </w:rPr>
              <w:t xml:space="preserve">+0,141**</w:t>
            </w:r>
          </w:p>
        </w:tc>
        <w:tc>
          <w:tcPr/>
          <w:p>
            <w:pPr>
              <w:pStyle w:val="Compact"/>
              <w:jc w:val="right"/>
            </w:pPr>
            <w:r>
              <w:t xml:space="preserve">+0,122**</w:t>
            </w:r>
          </w:p>
        </w:tc>
        <w:tc>
          <w:tcPr/>
          <w:p>
            <w:pPr>
              <w:pStyle w:val="Compact"/>
              <w:jc w:val="right"/>
            </w:pPr>
            <w:r>
              <w:t xml:space="preserve">+0,061**</w:t>
            </w:r>
          </w:p>
        </w:tc>
        <w:tc>
          <w:tcPr/>
          <w:p>
            <w:pPr>
              <w:pStyle w:val="Compact"/>
              <w:jc w:val="right"/>
            </w:pPr>
            <w:r>
              <w:t xml:space="preserve">+0,049**</w:t>
            </w:r>
          </w:p>
        </w:tc>
        <w:tc>
          <w:tcPr/>
          <w:p>
            <w:pPr>
              <w:pStyle w:val="Compact"/>
              <w:jc w:val="right"/>
            </w:pPr>
            <w:r>
              <w:t xml:space="preserve">+0,015*</w:t>
            </w:r>
          </w:p>
        </w:tc>
        <w:tc>
          <w:tcPr/>
          <w:p>
            <w:pPr>
              <w:pStyle w:val="Compact"/>
              <w:jc w:val="right"/>
            </w:pPr>
            <w:r>
              <w:rPr>
                <w:bCs/>
                <w:b/>
              </w:rPr>
              <w:t xml:space="preserve">+0,002 ns</w:t>
            </w:r>
          </w:p>
        </w:tc>
      </w:tr>
      <w:tr>
        <w:tc>
          <w:tcPr/>
          <w:p>
            <w:pPr>
              <w:pStyle w:val="Compact"/>
              <w:jc w:val="left"/>
            </w:pPr>
            <w:r>
              <w:t xml:space="preserve">TCI (R&amp;D + ISO)</w:t>
            </w:r>
          </w:p>
        </w:tc>
        <w:tc>
          <w:tcPr/>
          <w:p>
            <w:pPr>
              <w:pStyle w:val="Compact"/>
              <w:jc w:val="right"/>
            </w:pPr>
            <w:r>
              <w:t xml:space="preserve">+0,164**</w:t>
            </w:r>
          </w:p>
        </w:tc>
        <w:tc>
          <w:tcPr/>
          <w:p>
            <w:pPr>
              <w:pStyle w:val="Compact"/>
              <w:jc w:val="right"/>
            </w:pPr>
            <w:r>
              <w:rPr>
                <w:bCs/>
                <w:b/>
              </w:rPr>
              <w:t xml:space="preserve">+0,180**</w:t>
            </w:r>
          </w:p>
        </w:tc>
        <w:tc>
          <w:tcPr/>
          <w:p>
            <w:pPr>
              <w:pStyle w:val="Compact"/>
              <w:jc w:val="right"/>
            </w:pPr>
            <w:r>
              <w:t xml:space="preserve">+0,140**</w:t>
            </w:r>
          </w:p>
        </w:tc>
        <w:tc>
          <w:tcPr/>
          <w:p>
            <w:pPr>
              <w:pStyle w:val="Compact"/>
              <w:jc w:val="right"/>
            </w:pPr>
            <w:r>
              <w:t xml:space="preserve">+0,152**</w:t>
            </w:r>
          </w:p>
        </w:tc>
        <w:tc>
          <w:tcPr/>
          <w:p>
            <w:pPr>
              <w:pStyle w:val="Compact"/>
              <w:jc w:val="right"/>
            </w:pPr>
            <w:r>
              <w:t xml:space="preserve">+0,122**</w:t>
            </w:r>
          </w:p>
        </w:tc>
        <w:tc>
          <w:tcPr/>
          <w:p>
            <w:pPr>
              <w:pStyle w:val="Compact"/>
              <w:jc w:val="right"/>
            </w:pPr>
            <w:r>
              <w:t xml:space="preserve">+0,094**</w:t>
            </w:r>
          </w:p>
        </w:tc>
      </w:tr>
      <w:tr>
        <w:tc>
          <w:tcPr/>
          <w:p>
            <w:pPr>
              <w:pStyle w:val="Compact"/>
              <w:jc w:val="left"/>
            </w:pPr>
            <w:r>
              <w:t xml:space="preserve">DAI (website)</w:t>
            </w:r>
          </w:p>
        </w:tc>
        <w:tc>
          <w:tcPr/>
          <w:p>
            <w:pPr>
              <w:pStyle w:val="Compact"/>
              <w:jc w:val="right"/>
            </w:pPr>
            <w:r>
              <w:t xml:space="preserve">+0,093**</w:t>
            </w:r>
          </w:p>
        </w:tc>
        <w:tc>
          <w:tcPr/>
          <w:p>
            <w:pPr>
              <w:pStyle w:val="Compact"/>
              <w:jc w:val="right"/>
            </w:pPr>
            <w:r>
              <w:rPr>
                <w:bCs/>
                <w:b/>
              </w:rPr>
              <w:t xml:space="preserve">+0,202**</w:t>
            </w:r>
          </w:p>
        </w:tc>
        <w:tc>
          <w:tcPr/>
          <w:p>
            <w:pPr>
              <w:pStyle w:val="Compact"/>
              <w:jc w:val="right"/>
            </w:pPr>
            <w:r>
              <w:t xml:space="preserve">+0,091**</w:t>
            </w:r>
          </w:p>
        </w:tc>
        <w:tc>
          <w:tcPr/>
          <w:p>
            <w:pPr>
              <w:pStyle w:val="Compact"/>
              <w:jc w:val="right"/>
            </w:pPr>
            <w:r>
              <w:t xml:space="preserve">+0,183**</w:t>
            </w:r>
          </w:p>
        </w:tc>
        <w:tc>
          <w:tcPr/>
          <w:p>
            <w:pPr>
              <w:pStyle w:val="Compact"/>
              <w:jc w:val="right"/>
            </w:pPr>
            <w:r>
              <w:t xml:space="preserve">+0,113**</w:t>
            </w:r>
          </w:p>
        </w:tc>
        <w:tc>
          <w:tcPr/>
          <w:p>
            <w:pPr>
              <w:pStyle w:val="Compact"/>
              <w:jc w:val="right"/>
            </w:pPr>
            <w:r>
              <w:t xml:space="preserve">+0,095**</w:t>
            </w:r>
          </w:p>
        </w:tc>
      </w:tr>
    </w:tbl>
    <w:p>
      <w:pPr>
        <w:pStyle w:val="BodyText"/>
      </w:pPr>
      <w:r>
        <w:rPr>
          <w:iCs/>
          <w:i/>
        </w:rPr>
        <w:t xml:space="preserve">Ghi chú: ** p &lt; 0,01; * p &lt; 0,05; ns = không có ý nghĩa thống kê (kiểm định hai phía). LP-z = điểm z của ln(doanh thu/lao động) trong từng cặp nền kinh tế × năm; FDI ≥10% từ b2b; FSTS = d3b + d3c; TCI = trung bình hai thành phần R&amp;D (h8) và ISO (b8); DAI = website (c22b). n theo nhóm: 5.688 / 2.082 / 15.174 / 42.798 / 17.340 / 1.916 (quan sát có LP hợp lệ, khung mô tả 50 nền tái lập). Hệ số tương quan Pearson, không áp dụng HC1; HC1 dành cho SE hồi quy ở Chuyên đề 2.</w:t>
      </w:r>
    </w:p>
    <w:p>
      <w:pPr>
        <w:pStyle w:val="BodyText"/>
      </w:pPr>
      <w:r>
        <w:t xml:space="preserve">Sáu phát hiện chính: (1)</w:t>
      </w:r>
      <w:r>
        <w:t xml:space="preserve"> </w:t>
      </w:r>
      <w:r>
        <w:rPr>
          <w:bCs/>
          <w:b/>
        </w:rPr>
        <w:t xml:space="preserve">TCI là yếu tố tương quan mạnh và đồng đều nhất</w:t>
      </w:r>
      <w:r>
        <w:t xml:space="preserve"> </w:t>
      </w:r>
      <w:r>
        <w:t xml:space="preserve">ở mọi nhóm (+0,094 đến +0,180), năng lực công nghệ nền tảng là dịch chuyển mức phổ quát; (2)</w:t>
      </w:r>
      <w:r>
        <w:t xml:space="preserve"> </w:t>
      </w:r>
      <w:r>
        <w:rPr>
          <w:bCs/>
          <w:b/>
        </w:rPr>
        <w:t xml:space="preserve">phổ thể chế cường độ FSTS theo chiều thể chế</w:t>
      </w:r>
      <w:r>
        <w:t xml:space="preserve">: tương quan xuất khẩu–năng suất giảm đơn điệu từ +0,141 (Nhóm I) qua +0,049 (IV) và +0,015 (V) xuống</w:t>
      </w:r>
      <w:r>
        <w:t xml:space="preserve"> </w:t>
      </w:r>
      <w:r>
        <w:rPr>
          <w:bCs/>
          <w:b/>
        </w:rPr>
        <w:t xml:space="preserve">mất ý nghĩa ở SIDS (+0,002 ns)</w:t>
      </w:r>
      <w:r>
        <w:t xml:space="preserve">, tương quan thô của quốc tế hóa gần như biến mất ở thể chế yếu, gợi ý quan hệ phi tuyến và bị điều tiết thay vì tuyến tính phổ quát; (3)</w:t>
      </w:r>
      <w:r>
        <w:t xml:space="preserve"> </w:t>
      </w:r>
      <w:r>
        <w:rPr>
          <w:bCs/>
          <w:b/>
        </w:rPr>
        <w:t xml:space="preserve">SIDS là nhóm duy nhất mà tương quan FSTS triệt tiêu hoàn toàn</w:t>
      </w:r>
      <w:r>
        <w:t xml:space="preserve"> </w:t>
      </w:r>
      <w:r>
        <w:t xml:space="preserve">(≈0, không ý nghĩa), phù hợp với giả thuyết chi phí buộc phải quốc tế hóa: doanh nghiệp SIDS xuất khẩu vì bắt buộc, không phải vì chọn lọc theo năng suất; (4)</w:t>
      </w:r>
      <w:r>
        <w:t xml:space="preserve"> </w:t>
      </w:r>
      <w:r>
        <w:rPr>
          <w:bCs/>
          <w:b/>
        </w:rPr>
        <w:t xml:space="preserve">FDI dương ở mọi nhóm</w:t>
      </w:r>
      <w:r>
        <w:t xml:space="preserve">, mạnh hơn ở hai cực thể chế (Nhóm I +0,105 và SIDS +0,104), hai cơ chế khác nhau: MNE hub tại Advanced và FDI ngoại sinh tại SIDS; (5)</w:t>
      </w:r>
      <w:r>
        <w:t xml:space="preserve"> </w:t>
      </w:r>
      <w:r>
        <w:rPr>
          <w:bCs/>
          <w:b/>
        </w:rPr>
        <w:t xml:space="preserve">DAI dương ở mọi nhóm nhưng thấp nhất tại Nhóm I (+0,093)</w:t>
      </w:r>
      <w:r>
        <w:t xml:space="preserve"> </w:t>
      </w:r>
      <w:r>
        <w:t xml:space="preserve">trong khi cao nhất ở II và IV (+0,202; +0,183), phần bù của hiện diện số Bậc 1 co lại nơi nó đã tiệm cận bão hòa (Nghịch lý bão hòa số ở dạng suy giảm lợi suất biên); (6)</w:t>
      </w:r>
      <w:r>
        <w:t xml:space="preserve"> </w:t>
      </w:r>
      <w:r>
        <w:rPr>
          <w:bCs/>
          <w:b/>
        </w:rPr>
        <w:t xml:space="preserve">biến thiên cường độ cross-regime có hệ thống</w:t>
      </w:r>
      <w:r>
        <w:t xml:space="preserve">, thể chế điều tiết độ lớn (và cá biệt là dấu) của các cơ chế, nhất quán với Xu (2024).</w:t>
      </w:r>
    </w:p>
    <w:p>
      <w:pPr>
        <w:pStyle w:val="BodyText"/>
      </w:pPr>
      <w:r>
        <w:rPr>
          <w:bCs/>
          <w:b/>
        </w:rPr>
        <w:t xml:space="preserve">Cảnh báo schema BREADY 2025</w:t>
      </w:r>
      <w:r>
        <w:t xml:space="preserve">: Bảng 2.3.8.1 có thể bị nhiễu hiệu ứng lược đồ, cần kiểm chứng qua hệ thống phòng thủ ba tầng (Mục 2.2) trước khi suy diễn nhân quả.</w:t>
      </w:r>
    </w:p>
    <w:bookmarkEnd w:id="95"/>
    <w:bookmarkStart w:id="96" w:name="X4e2c60a6dc1660b95266a4b3b6a696190710474"/>
    <w:p>
      <w:pPr>
        <w:pStyle w:val="Heading4"/>
      </w:pPr>
      <w:r>
        <w:t xml:space="preserve">2.3.8.2 Khuôn mẫu giới tính trong quản lý và sở hữu: EAP dẫn đầu toàn cầu</w:t>
      </w:r>
    </w:p>
    <w:p>
      <w:pPr>
        <w:pStyle w:val="FirstParagraph"/>
      </w:pPr>
      <w:r>
        <w:rPr>
          <w:bCs/>
          <w:b/>
        </w:rPr>
        <w:t xml:space="preserve">Bảng 2.3.8.2</w:t>
      </w:r>
      <w:r>
        <w:t xml:space="preserve">.</w:t>
      </w:r>
      <w:r>
        <w:t xml:space="preserve"> </w:t>
      </w:r>
      <w:r>
        <w:rPr>
          <w:iCs/>
          <w:i/>
        </w:rPr>
        <w:t xml:space="preserve">Khuôn mẫu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96"/>
    <w:bookmarkStart w:id="97"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gián tiếp: phần bù tương quan DAI thấp nhất tại Nhóm Advanced đổi mới (+0,093 so với +0,183–0,202 ở các nhóm chuyển đổi/tài nguyên), nơi Bậc 1 đã tiệm cận bão hòa, lợi suất biên co lại;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 ≥ 3% doanh thu/năm × ≥ 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(Bậc 2 mature);</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w:t>
      </w:r>
      <m:oMath>
        <m:r>
          <m:t>p</m:t>
        </m:r>
        <m:r>
          <m:rPr>
            <m:sty m:val="p"/>
          </m:rPr>
          <m:t>=</m:t>
        </m:r>
        <m:r>
          <m:t>0</m:t>
        </m:r>
        <m:r>
          <m:rPr>
            <m:sty m:val="p"/>
          </m:rPr>
          <m:t>,</m:t>
        </m:r>
        <m:r>
          <m:t>005</m:t>
        </m:r>
      </m:oMath>
      <w:r>
        <w:t xml:space="preserve">)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Bậc 1 bão hòa); Giai đoạn 3 = cơ chế phụ thuộc giai đoạn (DAI Bậc 2 có phần bù có điều kiện). Hai cơ chế bổ sung nhau khi kiểm soát thế hệ số.</w:t>
      </w:r>
    </w:p>
    <w:p>
      <w:r>
        <w:pict>
          <v:rect style="width:0;height:1.5pt" o:hralign="center" o:hrstd="t" o:hr="t"/>
        </w:pict>
      </w:r>
    </w:p>
    <w:bookmarkEnd w:id="97"/>
    <w:bookmarkEnd w:id="98"/>
    <w:bookmarkStart w:id="103" w:name="thảo-luận-tổng-hợp"/>
    <w:p>
      <w:pPr>
        <w:pStyle w:val="Heading3"/>
      </w:pPr>
      <w:r>
        <w:t xml:space="preserve">2.3.9 Thảo luận tổng hợp</w:t>
      </w:r>
    </w:p>
    <w:bookmarkStart w:id="99"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trong đợt tăng theo chiều thể chế yếu dần</w:t>
      </w:r>
      <w:r>
        <w:t xml:space="preserve">: sd ln(LP) trong đợt từ 1,00 (Nhóm I) lên 1,31–1,39 (Nhóm III–V); tỷ số P90/P10 leo từ ~12 lần (Nhóm I) lên ~30 lần (Nhóm V). Khuôn mẫu này</w:t>
      </w:r>
      <w:r>
        <w:t xml:space="preserve"> </w:t>
      </w:r>
      <w:r>
        <w:rPr>
          <w:bCs/>
          <w:b/>
        </w:rPr>
        <w:t xml:space="preserve">nhất quán với giả thuyết phân bổ sai nguồn lực</w:t>
      </w:r>
      <w:r>
        <w:t xml:space="preserve"> </w:t>
      </w:r>
      <w:r>
        <w:t xml:space="preserve">(Hsieh &amp; Klenow, 2009, 2014), lưu ý sd log năng suất lao động là proxy gián tiếp cho cơ chế phân tán TFPR, nên đây là bằng chứng mô tả phù hợp chứ không phải phân rã trực tiếp.</w:t>
      </w:r>
    </w:p>
    <w:p>
      <w:pPr>
        <w:pStyle w:val="BodyText"/>
      </w:pPr>
      <w:r>
        <w:rPr>
          <w:bCs/>
          <w:b/>
        </w:rPr>
        <w:t xml:space="preserve">(ii) Dị biệt nội bộ phân nhóm Advanced</w:t>
      </w:r>
      <w:r>
        <w:t xml:space="preserve">: hai nhóm cùng mức thu nhập cao nhưng cấu trúc đối lập, R&amp;D 21,0% so với 7,0%; doanh nghiệp xuất khẩu 24,5% so với 11,7%; nữ quản lý cấp cao 20,7% so với 4,6%; phân tán năng suất trong đợt đặc biệt hẹp ở hai nền lớn nhất Vùng Vịnh (Saudi Arabia 0,49; Qatar 0,33 so với Singapore 1,08, chênh hơn</w:t>
      </w:r>
      <w:r>
        <w:t xml:space="preserve"> </w:t>
      </w:r>
      <w:r>
        <w:rPr>
          <w:bCs/>
          <w:b/>
        </w:rPr>
        <w:t xml:space="preserve">2 lần</w:t>
      </w:r>
      <w:r>
        <w:t xml:space="preserve">, đặc trưng nhà nước tô), cần phân nhóm con Advanced trong Chuyên đề 2.</w:t>
      </w:r>
    </w:p>
    <w:p>
      <w:pPr>
        <w:pStyle w:val="BodyText"/>
      </w:pPr>
      <w:r>
        <w:rPr>
          <w:bCs/>
          <w:b/>
        </w:rPr>
        <w:t xml:space="preserve">(iii) Dị biệt nội bộ khối châu Á mới nổi, 3 phân nhóm con</w:t>
      </w:r>
      <w:r>
        <w:t xml:space="preserve">: FDI dẫn dắt SEA (VNM+IDN+PHL, FSTS 12,4%) ≠ dân số lớn (IND+LKA+JOR, FSTS 7,1%) ≠ tài nguyên (MNG, FSTS 4,7%).</w:t>
      </w:r>
    </w:p>
    <w:p>
      <w:pPr>
        <w:pStyle w:val="BodyText"/>
      </w:pPr>
      <w:r>
        <w:rPr>
          <w:bCs/>
          <w:b/>
        </w:rPr>
        <w:t xml:space="preserve">(iv) SIDS Pacific, Kiribati 2025 là trường hợp biên cực đoan nhất</w:t>
      </w:r>
      <w:r>
        <w:t xml:space="preserve">: FSTS 1,0%, FDI 0,7%, website 18,7%, ISO 1,4%,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khoảng 12–28% doanh nghiệp xuất khẩu tùy nhóm. Cần lựa chọn hai giai đoạn trong Chuyên đề 2.</w:t>
      </w:r>
    </w:p>
    <w:p>
      <w:pPr>
        <w:pStyle w:val="BodyText"/>
      </w:pPr>
      <w:r>
        <w:rPr>
          <w:bCs/>
          <w:b/>
        </w:rPr>
        <w:t xml:space="preserve">(vi) Nhảy vọt số 2018–2026</w:t>
      </w:r>
      <w:r>
        <w:t xml:space="preserve"> </w:t>
      </w:r>
      <w:r>
        <w:t xml:space="preserve">ở các nhóm IV/V/VI (+21 đến +31 điểm phần trăm website). Phân biệt</w:t>
      </w:r>
      <w:r>
        <w:t xml:space="preserve"> </w:t>
      </w:r>
      <w:r>
        <w:rPr>
          <w:bCs/>
          <w:b/>
        </w:rPr>
        <w:t xml:space="preserve">Bậc 1 Sự hiện diện số cơ bản</w:t>
      </w:r>
      <w:r>
        <w:t xml:space="preserve"> </w:t>
      </w:r>
      <w:r>
        <w:t xml:space="preserve">(tiệm cận bão hòa ở Advanced) và</w:t>
      </w:r>
      <w:r>
        <w:t xml:space="preserve"> </w:t>
      </w:r>
      <w:r>
        <w:rPr>
          <w:bCs/>
          <w:b/>
        </w:rPr>
        <w:t xml:space="preserve">Bậc 2 Chuyển đổi số cơ bản</w:t>
      </w:r>
      <w:r>
        <w:t xml:space="preserve"> </w:t>
      </w:r>
      <w:r>
        <w:t xml:space="preserve">(đang phát triển). Phần bù tương quan DAI thấp nhất ở Nhóm I (+0,093) là dấu hiệu bão hòa Bậc 1, xem kiểm định loại trừ ICT tại Mục 2.3.4.3.</w:t>
      </w:r>
    </w:p>
    <w:p>
      <w:pPr>
        <w:pStyle w:val="BodyText"/>
      </w:pPr>
      <w:r>
        <w:rPr>
          <w:bCs/>
          <w:b/>
        </w:rPr>
        <w:t xml:space="preserve">(vii) Khuôn mẫu phi tuyến FDI ≥10%</w:t>
      </w:r>
      <w:r>
        <w:t xml:space="preserve">, dạng chữ U với cực tiểu ở Nhóm IV (3,1%): Advanced 7,7–13,6% sang Nhóm IV 3,1% sang SIDS 20,0%. Hai mô hình FDI: MNE hub (Advanced) và du lịch/viễn thông (SIDS).</w:t>
      </w:r>
    </w:p>
    <w:p>
      <w:pPr>
        <w:pStyle w:val="BodyText"/>
      </w:pPr>
      <w:r>
        <w:rPr>
          <w:bCs/>
          <w:b/>
        </w:rPr>
        <w:t xml:space="preserve">(viii) Đợt khảo sát 2025, mẫu đơn năm lớn nhất</w:t>
      </w:r>
      <w:r>
        <w:t xml:space="preserve">: 13 nền kinh tế × 16.880 doanh nghiệp (19,0% mẫu gộp, gồm Nhật Bản khảo sát lần đầu). Ấn Độ FSTS sụt 5 điểm phần trăm (hiệu ứng schema); Fiji website 74,8% &gt; Singapore 66,1%; Kiribati đối lập cực đoan với Fiji.</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99"/>
    <w:bookmarkStart w:id="100"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103 cặp nền kinh tế–năm.</w:t>
      </w:r>
    </w:p>
    <w:p>
      <w:pPr>
        <w:pStyle w:val="BodyText"/>
      </w:pPr>
      <w:r>
        <w:rPr>
          <w:bCs/>
          <w:b/>
        </w:rPr>
        <w:t xml:space="preserve">KT2, Phân nhóm con Advanced: đổi mới dẫn dắt so với tài nguyên dẫn dắt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khuôn mẫu hoàn toàn khác nhau.</w:t>
      </w:r>
    </w:p>
    <w:p>
      <w:pPr>
        <w:pStyle w:val="BodyText"/>
      </w:pPr>
      <w:r>
        <w:rPr>
          <w:bCs/>
          <w:b/>
        </w:rPr>
        <w:t xml:space="preserve">KT3, Xác nhận nhân quả Nghịch lý bão hòa số qua ước lượng biến công cụ</w:t>
      </w:r>
      <w:r>
        <w:t xml:space="preserve">: Phần bù tương quan DAI suy giảm rõ ở Advanced (+0,093, thấp nhất sáu nhóm) có thể phản ánh: (a) bão hòa thực sự của Bậc 1; (b) nhân quả ngược; (c) bias biến bỏ sót. Biến công cụ hợp lệ (độ phủ băng thông rộng) cần thiết để phân biệt.</w:t>
      </w:r>
    </w:p>
    <w:p>
      <w:pPr>
        <w:pStyle w:val="BodyText"/>
      </w:pPr>
      <w:r>
        <w:rPr>
          <w:bCs/>
          <w:b/>
        </w:rPr>
        <w:t xml:space="preserve">KT4, Dị biệt theo thời gian ba giai đoạn 2006–2026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tài liệu. Cần khung kết hợp MIRAB và Briguglio (1995) và quan điểm dựa trên nguồn lực.</w:t>
      </w:r>
    </w:p>
    <w:p>
      <w:pPr>
        <w:pStyle w:val="BodyText"/>
      </w:pPr>
      <w:r>
        <w:rPr>
          <w:bCs/>
          <w:b/>
        </w:rPr>
        <w:t xml:space="preserve">Ánh xạ khoảng trống sang câu hỏi nghiên cứu cho Chuyên đề 2.</w:t>
      </w:r>
      <w:r>
        <w:t xml:space="preserve"> </w:t>
      </w:r>
      <w:r>
        <w:t xml:space="preserve">Để chính thức hóa cầu nối từ thực trạng mô tả (CĐ1) sang thiết kế kiểm định suy diễn (CĐ2), Bảng 2.3.9.1 chuyển mỗi khoảng trống thực nghiệm thành một câu hỏi nghiên cứu có mô hình/kiểm định tương ứng.</w:t>
      </w:r>
    </w:p>
    <w:p>
      <w:pPr>
        <w:pStyle w:val="BodyText"/>
      </w:pPr>
      <w:r>
        <w:rPr>
          <w:bCs/>
          <w:b/>
        </w:rPr>
        <w:t xml:space="preserve">Bảng 2.3.9.1.</w:t>
      </w:r>
      <w:r>
        <w:t xml:space="preserve"> </w:t>
      </w:r>
      <w:r>
        <w:rPr>
          <w:iCs/>
          <w:i/>
        </w:rPr>
        <w:t xml:space="preserve">Ánh xạ khoảng trống thực trạng (CĐ1) sang câu hỏi nghiên cứu (CĐ2).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Khoảng trống (CĐ1)</w:t>
            </w:r>
          </w:p>
        </w:tc>
        <w:tc>
          <w:tcPr/>
          <w:p>
            <w:pPr>
              <w:pStyle w:val="Compact"/>
              <w:jc w:val="left"/>
            </w:pPr>
            <w:r>
              <w:t xml:space="preserve">Câu hỏi nghiên cứu cho CĐ2</w:t>
            </w:r>
          </w:p>
        </w:tc>
        <w:tc>
          <w:tcPr/>
          <w:p>
            <w:pPr>
              <w:pStyle w:val="Compact"/>
              <w:jc w:val="left"/>
            </w:pPr>
            <w:r>
              <w:t xml:space="preserve">Mô hình/kiểm định dự kiến</w:t>
            </w:r>
          </w:p>
        </w:tc>
      </w:tr>
      <w:tr>
        <w:tc>
          <w:tcPr/>
          <w:p>
            <w:pPr>
              <w:pStyle w:val="Compact"/>
              <w:jc w:val="left"/>
            </w:pPr>
            <w:r>
              <w:rPr>
                <w:bCs/>
                <w:b/>
              </w:rPr>
              <w:t xml:space="preserve">KT1</w:t>
            </w:r>
            <w:r>
              <w:t xml:space="preserve">, Điều tiết ba chiều TCI×DAI×FSTS chưa kiểm định đồng thời</w:t>
            </w:r>
          </w:p>
        </w:tc>
        <w:tc>
          <w:tcPr/>
          <w:p>
            <w:pPr>
              <w:pStyle w:val="Compact"/>
              <w:jc w:val="left"/>
            </w:pPr>
            <w:r>
              <w:t xml:space="preserve">Năng lực công nghệ và chấp nhận số đồng thời điều tiết quan hệ I–P như thế nào xuyên 6 chế độ ICRV?</w:t>
            </w:r>
          </w:p>
        </w:tc>
        <w:tc>
          <w:tcPr/>
          <w:p>
            <w:pPr>
              <w:pStyle w:val="Compact"/>
              <w:jc w:val="left"/>
            </w:pPr>
            <w:r>
              <w:t xml:space="preserve">Mô hình M7 tương tác ba chiều, 103 cặp nền kinh tế–năm</w:t>
            </w:r>
          </w:p>
        </w:tc>
      </w:tr>
      <w:tr>
        <w:tc>
          <w:tcPr/>
          <w:p>
            <w:pPr>
              <w:pStyle w:val="Compact"/>
              <w:jc w:val="left"/>
            </w:pPr>
            <w:r>
              <w:rPr>
                <w:bCs/>
                <w:b/>
              </w:rPr>
              <w:t xml:space="preserve">KT2</w:t>
            </w:r>
            <w:r>
              <w:t xml:space="preserve">, Phân nhóm con Advanced chưa hệ thống hóa</w:t>
            </w:r>
          </w:p>
        </w:tc>
        <w:tc>
          <w:tcPr/>
          <w:p>
            <w:pPr>
              <w:pStyle w:val="Compact"/>
              <w:jc w:val="left"/>
            </w:pPr>
            <w:r>
              <w:t xml:space="preserve">Cơ chế đổi mới dẫn dắt và tài nguyên dẫn dắt khác nhau ra sao trong chuyển hóa quốc tế hóa thành hiệu quả?</w:t>
            </w:r>
          </w:p>
        </w:tc>
        <w:tc>
          <w:tcPr/>
          <w:p>
            <w:pPr>
              <w:pStyle w:val="Compact"/>
              <w:jc w:val="left"/>
            </w:pPr>
            <w:r>
              <w:t xml:space="preserve">Tách Nhóm I/II + kiểm định khác biệt hệ số</w:t>
            </w:r>
          </w:p>
        </w:tc>
      </w:tr>
      <w:tr>
        <w:tc>
          <w:tcPr/>
          <w:p>
            <w:pPr>
              <w:pStyle w:val="Compact"/>
              <w:jc w:val="left"/>
            </w:pPr>
            <w:r>
              <w:rPr>
                <w:bCs/>
                <w:b/>
              </w:rPr>
              <w:t xml:space="preserve">KT3</w:t>
            </w:r>
            <w:r>
              <w:t xml:space="preserve">, Nghịch lý bão hòa số chưa xác nhận nhân quả</w:t>
            </w:r>
          </w:p>
        </w:tc>
        <w:tc>
          <w:tcPr/>
          <w:p>
            <w:pPr>
              <w:pStyle w:val="Compact"/>
              <w:jc w:val="left"/>
            </w:pPr>
            <w:r>
              <w:t xml:space="preserve">Phần bù DAI suy giảm ở Advanced là bão hòa thực hay nhân quả ngược/bỏ sót biến?</w:t>
            </w:r>
          </w:p>
        </w:tc>
        <w:tc>
          <w:tcPr/>
          <w:p>
            <w:pPr>
              <w:pStyle w:val="Compact"/>
              <w:jc w:val="left"/>
            </w:pPr>
            <w:r>
              <w:t xml:space="preserve">Ước lượng biến công cụ (độ phủ băng thông rộng)</w:t>
            </w:r>
          </w:p>
        </w:tc>
      </w:tr>
      <w:tr>
        <w:tc>
          <w:tcPr/>
          <w:p>
            <w:pPr>
              <w:pStyle w:val="Compact"/>
              <w:jc w:val="left"/>
            </w:pPr>
            <w:r>
              <w:rPr>
                <w:bCs/>
                <w:b/>
              </w:rPr>
              <w:t xml:space="preserve">KT4</w:t>
            </w:r>
            <w:r>
              <w:t xml:space="preserve">, Dị biệt thời gian ba giai đoạn chưa tổng hợp</w:t>
            </w:r>
          </w:p>
        </w:tc>
        <w:tc>
          <w:tcPr/>
          <w:p>
            <w:pPr>
              <w:pStyle w:val="Compact"/>
              <w:jc w:val="left"/>
            </w:pPr>
            <w:r>
              <w:t xml:space="preserve">Vị trí điểm uốn và độ cong I–P có ổn định qua 2006–2026 không?</w:t>
            </w:r>
          </w:p>
        </w:tc>
        <w:tc>
          <w:tcPr/>
          <w:p>
            <w:pPr>
              <w:pStyle w:val="Compact"/>
              <w:jc w:val="left"/>
            </w:pPr>
            <w:r>
              <w:t xml:space="preserve">Kiểm định Paternoster + tương tác thời gian</w:t>
            </w:r>
          </w:p>
        </w:tc>
      </w:tr>
      <w:tr>
        <w:tc>
          <w:tcPr/>
          <w:p>
            <w:pPr>
              <w:pStyle w:val="Compact"/>
              <w:jc w:val="left"/>
            </w:pPr>
            <w:r>
              <w:rPr>
                <w:bCs/>
                <w:b/>
              </w:rPr>
              <w:t xml:space="preserve">KT5</w:t>
            </w:r>
            <w:r>
              <w:t xml:space="preserve">, SIDS là trường hợp biên của Uppsala</w:t>
            </w:r>
          </w:p>
        </w:tc>
        <w:tc>
          <w:tcPr/>
          <w:p>
            <w:pPr>
              <w:pStyle w:val="Compact"/>
              <w:jc w:val="left"/>
            </w:pPr>
            <w:r>
              <w:t xml:space="preserve">Có tồn tại bối cảnh nơi quan hệ I–P chuyển thành âm đơn điệu (FIP) không?</w:t>
            </w:r>
          </w:p>
        </w:tc>
        <w:tc>
          <w:tcPr/>
          <w:p>
            <w:pPr>
              <w:pStyle w:val="Compact"/>
              <w:jc w:val="left"/>
            </w:pPr>
            <w:r>
              <w:t xml:space="preserve">Hồi quy SIDS + khung MIRAB/Briguglio (1995)</w:t>
            </w:r>
          </w:p>
        </w:tc>
      </w:tr>
    </w:tbl>
    <w:p>
      <w:pPr>
        <w:pStyle w:val="BodyText"/>
      </w:pPr>
      <w:r>
        <w:rPr>
          <w:iCs/>
          <w:i/>
        </w:rPr>
        <w:t xml:space="preserve">Ghi chú: Bảng này bảo đảm mỗi khoảng trống thực nghiệm rút ra từ thực trạng được chuyển thành một câu hỏi nghiên cứu có thiết kế kiểm định cụ thể trong Chuyên đề 2, duy trì tính liên tục logic giữa hai chuyên đề.</w:t>
      </w:r>
    </w:p>
    <w:bookmarkEnd w:id="100"/>
    <w:bookmarkStart w:id="101" w:name="hàm-ý-lý-thuyết"/>
    <w:p>
      <w:pPr>
        <w:pStyle w:val="Heading4"/>
      </w:pPr>
      <w:r>
        <w:t xml:space="preserve">2.3.9.3 Hàm ý lý thuyết</w:t>
      </w:r>
    </w:p>
    <w:p>
      <w:pPr>
        <w:pStyle w:val="FirstParagraph"/>
      </w:pPr>
      <w:r>
        <w:rPr>
          <w:bCs/>
          <w:b/>
        </w:rPr>
        <w:t xml:space="preserve">(1) Uppsala có điều kiện, không phổ quát</w:t>
      </w:r>
      <w:r>
        <w:t xml:space="preserve">: Tương quan FSTS–năng suất dương mạnh tại Advanced (+0,141), suy yếu dần theo chiều thể chế và mất ý nghĩa tại SIDS (+0,002 ns),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Bậc 1 là yếu tố vệ sinh bão hòa. Tại Emerging, DAI Bậc 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Biến thiên cường độ có hệ thống (và cá biệt là triệt tiêu hoàn toàn, FSTS tại SIDS) của các hệ số cross-regime không phải nhiễu mà là tín hiệu lý thuyết. Nghiên cứu kinh doanh quốc tế tương lai nên kiểm định hiệu ứng điều tiết theo nhóm ICRV trước khi báo cáo kích thước hiệu ứng trung bình.</w:t>
      </w:r>
    </w:p>
    <w:bookmarkEnd w:id="101"/>
    <w:bookmarkStart w:id="102" w:name="hàm-ý-phương-pháp-luận"/>
    <w:p>
      <w:pPr>
        <w:pStyle w:val="Heading4"/>
      </w:pPr>
      <w:r>
        <w:t xml:space="preserve">2.3.9.4 Hàm ý phương pháp luận</w:t>
      </w:r>
    </w:p>
    <w:p>
      <w:pPr>
        <w:pStyle w:val="FirstParagraph"/>
      </w:pPr>
      <w:r>
        <w:rPr>
          <w:bCs/>
          <w:b/>
        </w:rPr>
        <w:t xml:space="preserve">(1) Mẫu gộp WBES xuyên quốc gia như nền tảng dữ liệu cho kinh doanh quốc tế thị trường mới nổi</w:t>
      </w:r>
      <w:r>
        <w:t xml:space="preserve">: Khung 50 nền với 88.869 doanh nghiệp / 103 cặp nền kinh tế × năm (gồm Nhật Bản; mẫu gộp phân loại 96.415 DN / 52 nền), dùng chung cho cả mô tả và ước lượng P7, là một trong những mẫu lớn nhất từ trước đến nay cho phân tích quốc tế hóa – hiệu quả toàn diện tại châu Á–Thái Bình Dương.</w:t>
      </w:r>
    </w:p>
    <w:p>
      <w:pPr>
        <w:pStyle w:val="BodyText"/>
      </w:pPr>
      <w:r>
        <w:rPr>
          <w:bCs/>
          <w:b/>
        </w:rPr>
        <w:t xml:space="preserve">(2) Hệ thống phòng thủ ba tầng cho dữ liệu bảng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lược đồ.</w:t>
      </w:r>
    </w:p>
    <w:p>
      <w:pPr>
        <w:pStyle w:val="BodyText"/>
      </w:pPr>
      <w:r>
        <w:rPr>
          <w:bCs/>
          <w:b/>
        </w:rPr>
        <w:t xml:space="preserve">(3) Winsorize trong cụm quốc gia × năm tốt hơn cắt đuôi tổng thể</w:t>
      </w:r>
      <w:r>
        <w:t xml:space="preserve">: Cắt đuôi tổng thể bóp méo phân phối tại các nhóm phân tán rộng (Nhóm V: P90/P10 ~30 lần trong đợt).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cross-lược đồ (ln_employees, FSTS, ISO, innovate_product, website, ln_LP) cho phép so sánh hệ số cấu trúc giữa PICS3 và BREADY.</w:t>
      </w:r>
    </w:p>
    <w:p>
      <w:r>
        <w:pict>
          <v:rect style="width:0;height:1.5pt" o:hralign="center" o:hrstd="t" o:hr="t"/>
        </w:pict>
      </w:r>
    </w:p>
    <w:bookmarkEnd w:id="102"/>
    <w:bookmarkEnd w:id="103"/>
    <w:bookmarkEnd w:id="104"/>
    <w:bookmarkStart w:id="109" w:name="kết-luận"/>
    <w:p>
      <w:pPr>
        <w:pStyle w:val="Heading2"/>
      </w:pPr>
      <w:r>
        <w:t xml:space="preserve">2.4 KẾT LUẬN</w:t>
      </w:r>
    </w:p>
    <w:bookmarkStart w:id="105" w:name="kết-luận-chính"/>
    <w:p>
      <w:pPr>
        <w:pStyle w:val="Heading3"/>
      </w:pPr>
      <w:r>
        <w:t xml:space="preserve">2.4.1 Kết luận chính</w:t>
      </w:r>
    </w:p>
    <w:p>
      <w:pPr>
        <w:pStyle w:val="FirstParagraph"/>
      </w:pPr>
      <w:r>
        <w:t xml:space="preserve">Tám kết luận từ 50 nền kinh tế châu Á – Thái Bình Dương (khung phân tích 88.869 doanh nghiệp / 103 cặp nền kinh tế × năm, gồm Nhật Bản, WBES 2006–2026, dùng chung cho mô tả và ước lượng P7):</w:t>
      </w:r>
    </w:p>
    <w:p>
      <w:pPr>
        <w:pStyle w:val="BodyText"/>
      </w:pPr>
      <w:r>
        <w:rPr>
          <w:bCs/>
          <w:b/>
        </w:rPr>
        <w:t xml:space="preserve">KL1, Phi tuyến xuyên chế độ thể chế là quy luật</w:t>
      </w:r>
      <w:r>
        <w:t xml:space="preserve">: U ngược tại các nhóm chuyển đổi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tương quan dương mạnh và đồng đều ở mọi nhóm; phần bù DAI biến thiên cường độ gấp đôi giữa các nhóm ICRV (+0,093 ở Advanced so với +0,202 ở Advanced tài nguyên), đây là nội hàm cốt lõi của CDCM.</w:t>
      </w:r>
    </w:p>
    <w:p>
      <w:pPr>
        <w:pStyle w:val="BodyText"/>
      </w:pPr>
      <w:r>
        <w:rPr>
          <w:bCs/>
          <w:b/>
        </w:rPr>
        <w:t xml:space="preserve">KL3, Nghịch lý bão hòa số là cơ chế đo lường, không phải thất bại thị trường</w:t>
      </w:r>
      <w:r>
        <w:t xml:space="preserve">: Phần bù DAI thấp nhất tại Advanced là hệ quả của đo lường Bậc 1 trong bối cảnh Bậc 2/3 đã được áp dụng rộng.</w:t>
      </w:r>
    </w:p>
    <w:p>
      <w:pPr>
        <w:pStyle w:val="BodyText"/>
      </w:pPr>
      <w:r>
        <w:rPr>
          <w:bCs/>
          <w:b/>
        </w:rPr>
        <w:t xml:space="preserve">KL4, Thể chế là biến điều tiết, không phải biến trung gian</w:t>
      </w:r>
      <w:r>
        <w:t xml:space="preserve">: Gap de jure–de facto (Xu, 2024) giải thích biến thiên cường độ cross-regime của FDI và FSTS.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lược đồ.</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(+0,104) là nguồn năng suất chủ đạo; tương quan FSTS–năng suất bằng không (+0,002, không có ý nghĩa thống kê), nhóm duy nhất nơi xuất khẩu không gắn với phần bù năng suất.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khuôn mẫu năng suất doanh nghiệp hoàn toàn khác nhau.</w:t>
      </w:r>
    </w:p>
    <w:bookmarkEnd w:id="105"/>
    <w:bookmarkStart w:id="108" w:name="hàm-ý-và-đề-xuất"/>
    <w:p>
      <w:pPr>
        <w:pStyle w:val="Heading3"/>
      </w:pPr>
      <w:r>
        <w:t xml:space="preserve">2.4.2 Hàm ý và đề xuất</w:t>
      </w:r>
    </w:p>
    <w:bookmarkStart w:id="106"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Bậc 2 số cho SME Việt Nam</w:t>
      </w:r>
      <w:r>
        <w:t xml:space="preserve">: Website 47% là điểm đầu vào; VietQR, TikTok Shop, Shopee Asia Pacific là Bậc 1.5/Bậc 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23,2% rồi 16,1% phản ánh FDI lắp ráp tăng nhưng giá trị gia tăng nội địa thấp. Các chỉ tiêu cần theo dõi: tỷ lệ R&amp;D/doanh thu, tỷ lệ nhà cung cấp nội địa Tầng 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phổ thể chế ICRV, không phải phổ thể chế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(Bậc 1.5) so với nông thôn đồng bằng sông Cửu Long (Bậc 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sang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(Bậc 3), không phù hợp để sao chép trực tiếp;</w:t>
      </w:r>
      <w:r>
        <w:t xml:space="preserve"> </w:t>
      </w:r>
      <w:r>
        <w:t xml:space="preserve">(b) Nhật Bản 60% doanh nghiệp AI back-office (Bậc 2),</w:t>
      </w:r>
      <w:r>
        <w:t xml:space="preserve"> </w:t>
      </w:r>
      <w:r>
        <w:rPr>
          <w:bCs/>
          <w:b/>
        </w:rPr>
        <w:t xml:space="preserve">mục tiêu thực tế 2026–2030</w:t>
      </w:r>
      <w:r>
        <w:t xml:space="preserve">;</w:t>
      </w:r>
      <w:r>
        <w:t xml:space="preserve"> </w:t>
      </w:r>
      <w:r>
        <w:t xml:space="preserve">(c) Trung Quốc sản xuất thông minh (Bậc 2/3), học điểm tích cực, tránh rủi ro tập trung;</w:t>
      </w:r>
      <w:r>
        <w:t xml:space="preserve"> </w:t>
      </w:r>
      <w:r>
        <w:t xml:space="preserve">(d)</w:t>
      </w:r>
      <w:r>
        <w:t xml:space="preserve"> </w:t>
      </w:r>
      <w:r>
        <w:rPr>
          <w:bCs/>
          <w:b/>
        </w:rPr>
        <w:t xml:space="preserve">Mô hình ưu tiên Việt Nam Bậc 1.5</w:t>
      </w:r>
      <w:r>
        <w:t xml:space="preserve">: VietQR (100% miễn phí) sang Thương mại xã hội sang Xuyên biên giới Shopee/Amazon sang Cloud và AI cơ bản.</w:t>
      </w:r>
    </w:p>
    <w:bookmarkEnd w:id="106"/>
    <w:bookmarkStart w:id="107"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sang ROS, tăng trưởng doanh thu, tăng trưởng việc làm. Kết quả chính cần bền vững ≥ 2/3 biến phụ thuộc.</w:t>
      </w:r>
    </w:p>
    <w:p>
      <w:pPr>
        <w:pStyle w:val="BodyText"/>
      </w:pPr>
      <w:r>
        <w:rPr>
          <w:bCs/>
          <w:b/>
        </w:rPr>
        <w:t xml:space="preserve">(2) Lọc mẫu</w:t>
      </w:r>
      <w:r>
        <w:t xml:space="preserve">: Loại doanh nghiệp siêu nhỏ (micro firms, &lt; 5 lao động) và doanh nghiệp nhà nước. Kết quả cần bền vững trong SME tư nhân (n ≈ 80.000+).</w:t>
      </w:r>
    </w:p>
    <w:p>
      <w:pPr>
        <w:pStyle w:val="BodyText"/>
      </w:pPr>
      <w:r>
        <w:rPr>
          <w:bCs/>
          <w:b/>
        </w:rPr>
        <w:t xml:space="preserve">(3) Thay phương pháp</w:t>
      </w:r>
      <w:r>
        <w:t xml:space="preserve">: OLS sang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±0,1 đơn vị WGI; PPP GDP/capita thay GNI; jackknife loại từng nền kinh tế (50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107"/>
    <w:bookmarkEnd w:id="108"/>
    <w:bookmarkEnd w:id="109"/>
    <w:bookmarkStart w:id="110"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(2026a,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(2026b).</w:t>
      </w:r>
      <w:r>
        <w:t xml:space="preserve"> </w:t>
      </w:r>
      <w:r>
        <w:rPr>
          <w:iCs/>
          <w:i/>
        </w:rPr>
        <w:t xml:space="preserve">Vietnam economic outlook 2026: Navigating the crosscurrents</w:t>
      </w:r>
      <w:r>
        <w:t xml:space="preserve">. Asian Development Bank.</w:t>
      </w:r>
    </w:p>
    <w:p>
      <w:pPr>
        <w:pStyle w:val="BodyText"/>
      </w:pPr>
      <w:r>
        <w:t xml:space="preserve">Aguinis, H., Hill, N. S., &amp; Bailey, J. R. (2019).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Beugelsdijk, S., Kostova, T., Kunst, V. E., Spadafora, E., &amp; van Essen, M. (2018). Cultural distance and firm internationalization: A meta-analytical review and theoretical implications.</w:t>
      </w:r>
      <w:r>
        <w:t xml:space="preserve"> </w:t>
      </w:r>
      <w:r>
        <w:rPr>
          <w:iCs/>
          <w:i/>
        </w:rPr>
        <w:t xml:space="preserve">Journal of Management, 44</w:t>
      </w:r>
      <w:r>
        <w:t xml:space="preserve">(1), 89–130. https://doi.org/10.1177/0149206317729027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Economics and Development</w:t>
      </w:r>
      <w:r>
        <w:t xml:space="preserve"> </w:t>
      </w:r>
      <w:r>
        <w:t xml:space="preserve">(chưa nộp).</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La Porta, R., &amp; Shleifer, A. (2008). The unofficial economy and economic development.</w:t>
      </w:r>
      <w:r>
        <w:t xml:space="preserve"> </w:t>
      </w:r>
      <w:r>
        <w:rPr>
          <w:iCs/>
          <w:i/>
        </w:rPr>
        <w:t xml:space="preserve">Brookings Papers on Economic Activity, 2008</w:t>
      </w:r>
      <w:r>
        <w:t xml:space="preserve">(2), 275–352.</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 https://doi.org/10.1002/smj.184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T. T., Đỗ, T. H., &amp; Phan, A. T. (2026). Digital adoption and internationalization in Singapore.</w:t>
      </w:r>
      <w:r>
        <w:t xml:space="preserve"> </w:t>
      </w:r>
      <w:r>
        <w:rPr>
          <w:iCs/>
          <w:i/>
        </w:rPr>
        <w:t xml:space="preserve">Management International Review</w:t>
      </w:r>
      <w:r>
        <w:t xml:space="preserve"> </w:t>
      </w:r>
      <w:r>
        <w:t xml:space="preserve">(chưa nộp).</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(2025a).</w:t>
      </w:r>
      <w:r>
        <w:t xml:space="preserve"> </w:t>
      </w:r>
      <w:r>
        <w:rPr>
          <w:iCs/>
          <w:i/>
        </w:rPr>
        <w:t xml:space="preserve">Taking stock, September 2025: Viet Nam economic update, Nurturing Viet Nam’s high-tech talents</w:t>
      </w:r>
      <w:r>
        <w:t xml:space="preserve">. World Bank Group.</w:t>
      </w:r>
    </w:p>
    <w:p>
      <w:pPr>
        <w:pStyle w:val="BodyText"/>
      </w:pPr>
      <w:r>
        <w:t xml:space="preserve">World Bank. (2025b).</w:t>
      </w:r>
      <w:r>
        <w:t xml:space="preserve"> </w:t>
      </w:r>
      <w:r>
        <w:rPr>
          <w:iCs/>
          <w:i/>
        </w:rPr>
        <w:t xml:space="preserve">World Bank country and lending groups: FY2026</w:t>
      </w:r>
      <w:r>
        <w:t xml:space="preserve">. World Bank Group. https://datahelpdesk.worldbank.org/knowledgebase/articles/906519</w:t>
      </w:r>
    </w:p>
    <w:p>
      <w:pPr>
        <w:pStyle w:val="BodyText"/>
      </w:pPr>
      <w:r>
        <w:t xml:space="preserve">World Bank. (2025c).</w:t>
      </w:r>
      <w:r>
        <w:t xml:space="preserve"> </w:t>
      </w:r>
      <w:r>
        <w:rPr>
          <w:iCs/>
          <w:i/>
        </w:rPr>
        <w:t xml:space="preserve">World Bank Enterprise Surveys 2025</w:t>
      </w:r>
      <w:r>
        <w:t xml:space="preserve">. World Bank Group.</w:t>
      </w:r>
    </w:p>
    <w:p>
      <w:pPr>
        <w:pStyle w:val="BodyText"/>
      </w:pPr>
      <w:r>
        <w:t xml:space="preserve">World Bank. (2026).</w:t>
      </w:r>
      <w:r>
        <w:t xml:space="preserve"> </w:t>
      </w:r>
      <w:r>
        <w:rPr>
          <w:iCs/>
          <w:i/>
        </w:rPr>
        <w:t xml:space="preserve">Viet Nam: Data360 economy snapshot</w:t>
      </w:r>
      <w:r>
        <w:t xml:space="preserve"> </w:t>
      </w:r>
      <w:r>
        <w:t xml:space="preserve">(April 2026). World Bank Group.</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110"/>
    <w:bookmarkStart w:id="112" w:name="phụ-lục"/>
    <w:p>
      <w:pPr>
        <w:pStyle w:val="Heading2"/>
      </w:pPr>
      <w:r>
        <w:t xml:space="preserve">PHỤ LỤC</w:t>
      </w:r>
    </w:p>
    <w:bookmarkStart w:id="111" w:name="X6a1348869660acbf16c0abae95e4ebdebc959d4"/>
    <w:p>
      <w:pPr>
        <w:pStyle w:val="Heading3"/>
      </w:pPr>
      <w:r>
        <w:t xml:space="preserve">Phụ lục A: Phạm vi thực tế của mẫu gộp dữ liệu WBES</w:t>
      </w:r>
    </w:p>
    <w:p>
      <w:pPr>
        <w:pStyle w:val="FirstParagraph"/>
      </w:pPr>
      <w:r>
        <w:rPr>
          <w:bCs/>
          <w:b/>
        </w:rPr>
        <w:t xml:space="preserve">Bảng A.1</w:t>
      </w:r>
      <w:r>
        <w:t xml:space="preserve">.</w:t>
      </w:r>
      <w:r>
        <w:t xml:space="preserve"> </w:t>
      </w:r>
      <w:r>
        <w:rPr>
          <w:iCs/>
          <w:i/>
        </w:rPr>
        <w:t xml:space="preserve">Phân bổ 50 nền kinh tế theo nhóm ICRV: khung mô tả LP-valid tái lập 84.998 doanh nghiệp, 107 cặp nền kinh tế × năm, 2006–2026 (cột n đã gồm China-2012 và đủ bốn đợt Azerbaijan).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 (năm khảo sát)</w:t>
            </w:r>
          </w:p>
        </w:tc>
        <w:tc>
          <w:tcPr/>
          <w:p>
            <w:pPr>
              <w:pStyle w:val="Compact"/>
              <w:jc w:val="right"/>
            </w:pPr>
            <w:r>
              <w:t xml:space="preserve">Đợt</w:t>
            </w:r>
          </w:p>
        </w:tc>
        <w:tc>
          <w:tcPr/>
          <w:p>
            <w:pPr>
              <w:pStyle w:val="Compact"/>
              <w:jc w:val="right"/>
            </w:pPr>
            <w:r>
              <w:t xml:space="preserve">n</w:t>
            </w:r>
          </w:p>
        </w:tc>
      </w:tr>
      <w:tr>
        <w:tc>
          <w:tcPr/>
          <w:p>
            <w:pPr>
              <w:pStyle w:val="Compact"/>
              <w:jc w:val="left"/>
            </w:pPr>
            <w:r>
              <w:rPr>
                <w:bCs/>
                <w:b/>
              </w:rPr>
              <w:t xml:space="preserve">Nhóm I, Advanced đổi mới sáng tạo (6 nền)</w:t>
            </w:r>
          </w:p>
        </w:tc>
        <w:tc>
          <w:tcPr/>
          <w:p>
            <w:pPr>
              <w:pStyle w:val="Compact"/>
              <w:jc w:val="left"/>
            </w:pPr>
            <w:r>
              <w:t xml:space="preserve">Hàn Quốc (2024), Israel (2013, 2024), Singapore (2023), Đài Loan (2024), Hong Kong SAR (2023), Nhật Bản (2025)</w:t>
            </w:r>
          </w:p>
        </w:tc>
        <w:tc>
          <w:tcPr/>
          <w:p>
            <w:pPr>
              <w:pStyle w:val="Compact"/>
              <w:jc w:val="right"/>
            </w:pPr>
            <w:r>
              <w:t xml:space="preserve">7</w:t>
            </w:r>
          </w:p>
        </w:tc>
        <w:tc>
          <w:tcPr/>
          <w:p>
            <w:pPr>
              <w:pStyle w:val="Compact"/>
              <w:jc w:val="right"/>
            </w:pPr>
            <w:r>
              <w:t xml:space="preserve">5.688</w:t>
            </w:r>
          </w:p>
        </w:tc>
      </w:tr>
      <w:tr>
        <w:tc>
          <w:tcPr/>
          <w:p>
            <w:pPr>
              <w:pStyle w:val="Compact"/>
              <w:jc w:val="left"/>
            </w:pPr>
            <w:r>
              <w:rPr>
                <w:bCs/>
                <w:b/>
              </w:rPr>
              <w:t xml:space="preserve">Nhóm II, Advanced tài nguyên (6 nền)</w:t>
            </w:r>
          </w:p>
        </w:tc>
        <w:tc>
          <w:tcPr/>
          <w:p>
            <w:pPr>
              <w:pStyle w:val="Compact"/>
              <w:jc w:val="left"/>
            </w:pPr>
            <w:r>
              <w:t xml:space="preserve">Saudi Arabia (2025), Qatar (2025), Oman (2026), Bahrain (2024), Brunei (2025), Kuwait (2025)</w:t>
            </w:r>
          </w:p>
        </w:tc>
        <w:tc>
          <w:tcPr/>
          <w:p>
            <w:pPr>
              <w:pStyle w:val="Compact"/>
              <w:jc w:val="right"/>
            </w:pPr>
            <w:r>
              <w:t xml:space="preserve">6</w:t>
            </w:r>
          </w:p>
        </w:tc>
        <w:tc>
          <w:tcPr/>
          <w:p>
            <w:pPr>
              <w:pStyle w:val="Compact"/>
              <w:jc w:val="right"/>
            </w:pPr>
            <w:r>
              <w:t xml:space="preserve">2.082</w:t>
            </w:r>
          </w:p>
        </w:tc>
      </w:tr>
      <w:tr>
        <w:tc>
          <w:tcPr/>
          <w:p>
            <w:pPr>
              <w:pStyle w:val="Compact"/>
              <w:jc w:val="left"/>
            </w:pPr>
            <w:r>
              <w:rPr>
                <w:bCs/>
                <w:b/>
              </w:rPr>
              <w:t xml:space="preserve">Nhóm III, Trung bình cao (6 nền)</w:t>
            </w:r>
          </w:p>
        </w:tc>
        <w:tc>
          <w:tcPr/>
          <w:p>
            <w:pPr>
              <w:pStyle w:val="Compact"/>
              <w:jc w:val="left"/>
            </w:pPr>
            <w:r>
              <w:t xml:space="preserve">Kazakhstan (2009, 2013, 2019, 2024), Malaysia (2015, 2019, 2024), Trung Quốc (2012, 2024), Thái Lan (2016, 2025), Armenia (2009, 2013, 2020, 2024), Georgia (2013, 2019, 2023)</w:t>
            </w:r>
          </w:p>
        </w:tc>
        <w:tc>
          <w:tcPr/>
          <w:p>
            <w:pPr>
              <w:pStyle w:val="Compact"/>
              <w:jc w:val="right"/>
            </w:pPr>
            <w:r>
              <w:t xml:space="preserve">18</w:t>
            </w:r>
          </w:p>
        </w:tc>
        <w:tc>
          <w:tcPr/>
          <w:p>
            <w:pPr>
              <w:pStyle w:val="Compact"/>
              <w:jc w:val="right"/>
            </w:pPr>
            <w:r>
              <w:t xml:space="preserve">15.174</w:t>
            </w:r>
          </w:p>
        </w:tc>
      </w:tr>
      <w:tr>
        <w:tc>
          <w:tcPr/>
          <w:p>
            <w:pPr>
              <w:pStyle w:val="Compact"/>
              <w:jc w:val="left"/>
            </w:pPr>
            <w:r>
              <w:rPr>
                <w:bCs/>
                <w:b/>
              </w:rPr>
              <w:t xml:space="preserve">Nhóm IV, Chuyển đổi TB-thấp (7 nền)</w:t>
            </w:r>
          </w:p>
        </w:tc>
        <w:tc>
          <w:tcPr/>
          <w:p>
            <w:pPr>
              <w:pStyle w:val="Compact"/>
              <w:jc w:val="left"/>
            </w:pPr>
            <w:r>
              <w:t xml:space="preserve">Ấn Độ (2014, 2022, 2025), Indonesia (2009, 2015, 2023), Việt Nam (2009, 2015, 2023), Pakistan (2013, 2022), Bangladesh (2013, 2022), Mông Cổ (2009, 2013, 2019), Philippines (2023)</w:t>
            </w:r>
          </w:p>
        </w:tc>
        <w:tc>
          <w:tcPr/>
          <w:p>
            <w:pPr>
              <w:pStyle w:val="Compact"/>
              <w:jc w:val="right"/>
            </w:pPr>
            <w:r>
              <w:t xml:space="preserve">17</w:t>
            </w:r>
          </w:p>
        </w:tc>
        <w:tc>
          <w:tcPr/>
          <w:p>
            <w:pPr>
              <w:pStyle w:val="Compact"/>
              <w:jc w:val="right"/>
            </w:pPr>
            <w:r>
              <w:t xml:space="preserve">42.798</w:t>
            </w:r>
          </w:p>
        </w:tc>
      </w:tr>
      <w:tr>
        <w:tc>
          <w:tcPr/>
          <w:p>
            <w:pPr>
              <w:pStyle w:val="Compact"/>
              <w:jc w:val="left"/>
            </w:pPr>
            <w:r>
              <w:rPr>
                <w:bCs/>
                <w:b/>
              </w:rPr>
              <w:t xml:space="preserve">Nhóm V, Đang nổi (17 nền)</w:t>
            </w:r>
          </w:p>
        </w:tc>
        <w:tc>
          <w:tcPr/>
          <w:p>
            <w:pPr>
              <w:pStyle w:val="Compact"/>
              <w:jc w:val="left"/>
            </w:pPr>
            <w:r>
              <w:t xml:space="preserve">Uzbekistan, Jordan, Lào, Iraq, Myanmar, Kyrgyzstan, Sri Lanka, Lebanon, Tajikistan, Campuchia, Afghanistan, Yemen, Bhutan, Nepal, Azerbaijan (2009, 2013, 2019, 2024), Turkmenistan, Maldives (các đợt 2006–2025)</w:t>
            </w:r>
          </w:p>
        </w:tc>
        <w:tc>
          <w:tcPr/>
          <w:p>
            <w:pPr>
              <w:pStyle w:val="Compact"/>
              <w:jc w:val="right"/>
            </w:pPr>
            <w:r>
              <w:t xml:space="preserve">43</w:t>
            </w:r>
          </w:p>
        </w:tc>
        <w:tc>
          <w:tcPr/>
          <w:p>
            <w:pPr>
              <w:pStyle w:val="Compact"/>
              <w:jc w:val="right"/>
            </w:pPr>
            <w:r>
              <w:t xml:space="preserve">17.340</w:t>
            </w:r>
          </w:p>
        </w:tc>
      </w:tr>
      <w:tr>
        <w:tc>
          <w:tcPr/>
          <w:p>
            <w:pPr>
              <w:pStyle w:val="Compact"/>
              <w:jc w:val="left"/>
            </w:pPr>
            <w:r>
              <w:rPr>
                <w:bCs/>
                <w:b/>
              </w:rPr>
              <w:t xml:space="preserve">Nhóm VI, SIDS (8 nền)</w:t>
            </w:r>
          </w:p>
        </w:tc>
        <w:tc>
          <w:tcPr/>
          <w:p>
            <w:pPr>
              <w:pStyle w:val="Compact"/>
              <w:jc w:val="left"/>
            </w:pPr>
            <w:r>
              <w:t xml:space="preserve">Timor-Leste (2009, 2015, 2021), Fiji (2009, 2025), Solomon Islands (2015, 2025), Tonga (2009, 2024), Samoa (2009, 2023), Vanuatu (2009, 2023), Papua New Guinea (2015, 2024), Kiribati (2025)</w:t>
            </w:r>
          </w:p>
        </w:tc>
        <w:tc>
          <w:tcPr/>
          <w:p>
            <w:pPr>
              <w:pStyle w:val="Compact"/>
              <w:jc w:val="right"/>
            </w:pPr>
            <w:r>
              <w:t xml:space="preserve">16</w:t>
            </w:r>
          </w:p>
        </w:tc>
        <w:tc>
          <w:tcPr/>
          <w:p>
            <w:pPr>
              <w:pStyle w:val="Compact"/>
              <w:jc w:val="right"/>
            </w:pPr>
            <w:r>
              <w:t xml:space="preserve">1.916</w:t>
            </w:r>
          </w:p>
        </w:tc>
      </w:tr>
      <w:tr>
        <w:tc>
          <w:tcPr/>
          <w:p>
            <w:pPr>
              <w:pStyle w:val="Compact"/>
              <w:jc w:val="left"/>
            </w:pPr>
            <w:r>
              <w:rPr>
                <w:bCs/>
                <w:b/>
              </w:rPr>
              <w:t xml:space="preserve">Tổng</w:t>
            </w:r>
          </w:p>
        </w:tc>
        <w:tc>
          <w:tcPr/>
          <w:p>
            <w:pPr>
              <w:pStyle w:val="Compact"/>
              <w:jc w:val="left"/>
            </w:pPr>
            <w:r>
              <w:rPr>
                <w:bCs/>
                <w:b/>
              </w:rPr>
              <w:t xml:space="preserve">50 nền (LP-valid)</w:t>
            </w:r>
          </w:p>
        </w:tc>
        <w:tc>
          <w:tcPr/>
          <w:p>
            <w:pPr>
              <w:pStyle w:val="Compact"/>
              <w:jc w:val="right"/>
            </w:pPr>
            <w:r>
              <w:rPr>
                <w:bCs/>
                <w:b/>
              </w:rPr>
              <w:t xml:space="preserve">107</w:t>
            </w:r>
          </w:p>
        </w:tc>
        <w:tc>
          <w:tcPr/>
          <w:p>
            <w:pPr>
              <w:pStyle w:val="Compact"/>
              <w:jc w:val="right"/>
            </w:pPr>
            <w:r>
              <w:rPr>
                <w:bCs/>
                <w:b/>
              </w:rPr>
              <w:t xml:space="preserve">84.998</w:t>
            </w:r>
          </w:p>
        </w:tc>
      </w:tr>
    </w:tbl>
    <w:p>
      <w:pPr>
        <w:pStyle w:val="BodyText"/>
      </w:pPr>
      <w:r>
        <w:rPr>
          <w:iCs/>
          <w:i/>
        </w:rPr>
        <w:t xml:space="preserve">Ghi chú: mỗi cặp nền kinh tế × năm lấy đúng một lát cắt ngang chuẩn WBES; loại các điều tra phi chính thức, siêu nhỏ (Micro) và panel mở rộng; chỉ nhận đợt khảo sát từ 2006 trở đi (bộ câu hỏi so sánh được toàn cầu). Nhật Bản 2025 (n=2.168) là thành viên đầy đủ của Nhóm I trong mẫu gộp mô tả. Khung ước lượng đa quốc gia của luận án (P7: 88.869 doanh nghiệp / 50 nền, gồm Nhật Bản; mẫu gộp phân loại 96.415 / 52 nền) được chạy theo quy trình tại Phụ lục A; vòng tái ước lượng 50 nền gồm Nhật Bản đã hoàn tất nên mô tả và ước lượng nay dùng chung MỘT khung 50 nền (hồi quy M2 N=81.022; M5 N=79.080).</w:t>
      </w:r>
    </w:p>
    <w:p>
      <w:pPr>
        <w:pStyle w:val="BodyText"/>
      </w:pPr>
      <w:r>
        <w:rPr>
          <w:bCs/>
          <w:b/>
        </w:rPr>
        <w:t xml:space="preserve">Ba thế hệ schema WBES trong mẫu gộp mô tả</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right"/>
            </w:pPr>
            <w:r>
              <w:t xml:space="preserve">Đợt</w:t>
            </w:r>
          </w:p>
        </w:tc>
        <w:tc>
          <w:tcPr/>
          <w:p>
            <w:pPr>
              <w:pStyle w:val="Compact"/>
              <w:jc w:val="right"/>
            </w:pPr>
            <w:r>
              <w:t xml:space="preserve">n</w:t>
            </w:r>
          </w:p>
        </w:tc>
        <w:tc>
          <w:tcPr/>
          <w:p>
            <w:pPr>
              <w:pStyle w:val="Compact"/>
              <w:jc w:val="left"/>
            </w:pPr>
            <w:r>
              <w:t xml:space="preserve">Phạm vi DAI</w:t>
            </w:r>
          </w:p>
        </w:tc>
      </w:tr>
      <w:tr>
        <w:tc>
          <w:tcPr/>
          <w:p>
            <w:pPr>
              <w:pStyle w:val="Compact"/>
              <w:jc w:val="left"/>
            </w:pPr>
            <w:r>
              <w:t xml:space="preserve">PICS3 / tiền-Standardized</w:t>
            </w:r>
          </w:p>
        </w:tc>
        <w:tc>
          <w:tcPr/>
          <w:p>
            <w:pPr>
              <w:pStyle w:val="Compact"/>
              <w:jc w:val="left"/>
            </w:pPr>
            <w:r>
              <w:t xml:space="preserve">2006–2012</w:t>
            </w:r>
          </w:p>
        </w:tc>
        <w:tc>
          <w:tcPr/>
          <w:p>
            <w:pPr>
              <w:pStyle w:val="Compact"/>
              <w:jc w:val="right"/>
            </w:pPr>
            <w:r>
              <w:t xml:space="preserve">18</w:t>
            </w:r>
          </w:p>
        </w:tc>
        <w:tc>
          <w:tcPr/>
          <w:p>
            <w:pPr>
              <w:pStyle w:val="Compact"/>
              <w:jc w:val="right"/>
            </w:pPr>
            <w:r>
              <w:t xml:space="preserve">8.048</w:t>
            </w:r>
          </w:p>
        </w:tc>
        <w:tc>
          <w:tcPr/>
          <w:p>
            <w:pPr>
              <w:pStyle w:val="Compact"/>
              <w:jc w:val="left"/>
            </w:pPr>
            <w:r>
              <w:t xml:space="preserve">Chỉ Bậc 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right"/>
            </w:pPr>
            <w:r>
              <w:t xml:space="preserve">27</w:t>
            </w:r>
          </w:p>
        </w:tc>
        <w:tc>
          <w:tcPr/>
          <w:p>
            <w:pPr>
              <w:pStyle w:val="Compact"/>
              <w:jc w:val="right"/>
            </w:pPr>
            <w:r>
              <w:t xml:space="preserve">23.940</w:t>
            </w:r>
          </w:p>
        </w:tc>
        <w:tc>
          <w:tcPr/>
          <w:p>
            <w:pPr>
              <w:pStyle w:val="Compact"/>
              <w:jc w:val="left"/>
            </w:pPr>
            <w:r>
              <w:t xml:space="preserve">Chỉ Bậc 1</w:t>
            </w:r>
          </w:p>
        </w:tc>
      </w:tr>
      <w:tr>
        <w:tc>
          <w:tcPr/>
          <w:p>
            <w:pPr>
              <w:pStyle w:val="Compact"/>
              <w:jc w:val="left"/>
            </w:pPr>
            <w:r>
              <w:t xml:space="preserve">BREADY/BEE</w:t>
            </w:r>
          </w:p>
        </w:tc>
        <w:tc>
          <w:tcPr/>
          <w:p>
            <w:pPr>
              <w:pStyle w:val="Compact"/>
              <w:jc w:val="left"/>
            </w:pPr>
            <w:r>
              <w:t xml:space="preserve">2018–2026</w:t>
            </w:r>
          </w:p>
        </w:tc>
        <w:tc>
          <w:tcPr/>
          <w:p>
            <w:pPr>
              <w:pStyle w:val="Compact"/>
              <w:jc w:val="right"/>
            </w:pPr>
            <w:r>
              <w:t xml:space="preserve">58</w:t>
            </w:r>
          </w:p>
        </w:tc>
        <w:tc>
          <w:tcPr/>
          <w:p>
            <w:pPr>
              <w:pStyle w:val="Compact"/>
              <w:jc w:val="right"/>
            </w:pPr>
            <w:r>
              <w:t xml:space="preserve">56.881</w:t>
            </w:r>
          </w:p>
        </w:tc>
        <w:tc>
          <w:tcPr/>
          <w:p>
            <w:pPr>
              <w:pStyle w:val="Compact"/>
              <w:jc w:val="left"/>
            </w:pPr>
            <w:r>
              <w:t xml:space="preserve">Bậc 1 + Bậc 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Cần Thơ</w:t>
      </w:r>
      <w:r>
        <w:t xml:space="preserve"> </w:t>
      </w:r>
      <w:r>
        <w:rPr>
          <w:iCs/>
          <w:i/>
        </w:rPr>
        <w:t xml:space="preserve">Người hướng dẫn: TS. Nguyễn Minh Cảnh, Trường Kinh tế, Đại học Cần Thơ (CTU)</w:t>
      </w:r>
    </w:p>
    <w:bookmarkEnd w:id="111"/>
    <w:bookmarkEnd w:id="11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2026-06-30T17:09:27Z</dcterms:created>
  <dcterms:modified xsi:type="dcterms:W3CDTF">2026-06-30T17:09:27Z</dcterms:modified>
</cp:coreProperties>
</file>

<file path=docProps/custom.xml><?xml version="1.0" encoding="utf-8"?>
<Properties xmlns="http://schemas.openxmlformats.org/officeDocument/2006/custom-properties" xmlns:vt="http://schemas.openxmlformats.org/officeDocument/2006/docPropsVTypes"/>
</file>