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ài-liệu-tham-khảo"/>
    <w:p>
      <w:pPr>
        <w:pStyle w:val="Heading1"/>
      </w:pPr>
      <w:r>
        <w:t xml:space="preserve">TÀI LIỆU THAM KHẢO</w:t>
      </w:r>
    </w:p>
    <w:p>
      <w:pPr>
        <w:pStyle w:val="BlockText"/>
      </w:pPr>
      <w:r>
        <w:t xml:space="preserve">Trình bày theo chuẩn APA 7th, một danh sách thống nhất xếp theo thứ tự bảng chữ cái tên tác giả (hoặc tên tổ chức). Tài liệu cùng tác giả–cùng năm phân biệt bằng hậu tố a, b, c.</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t xml:space="preserve">ADB. (2025).</w:t>
      </w:r>
      <w:r>
        <w:t xml:space="preserve"> </w:t>
      </w:r>
      <w:r>
        <w:rPr>
          <w:iCs/>
          <w:i/>
        </w:rPr>
        <w:t xml:space="preserve">Annual Report 2025 — Online Appendix 1: Resolutions of the Board of Governors Adopted in 2025</w:t>
      </w:r>
      <w:r>
        <w:t xml:space="preserve">. Asian Development Bank. https://www.adb.org/documents/adb-annual-report-2025</w:t>
      </w:r>
    </w:p>
    <w:p>
      <w:pPr>
        <w:pStyle w:val="BodyText"/>
      </w:pPr>
      <w:r>
        <w:t xml:space="preserve">ADB. (2026).</w:t>
      </w:r>
      <w:r>
        <w:t xml:space="preserve"> </w:t>
      </w:r>
      <w:r>
        <w:rPr>
          <w:iCs/>
          <w:i/>
        </w:rPr>
        <w:t xml:space="preserve">Asia-Pacific Development Report 2026: Highlights — Global Value Chain Participation in Developing Asia</w:t>
      </w:r>
      <w:r>
        <w:t xml:space="preserve">. Asian Development Bank.</w:t>
      </w:r>
    </w:p>
    <w:p>
      <w:pPr>
        <w:pStyle w:val="BodyText"/>
      </w:pPr>
      <w:r>
        <w:t xml:space="preserve">ADB. (2026, April).</w:t>
      </w:r>
      <w:r>
        <w:t xml:space="preserve"> </w:t>
      </w:r>
      <w:r>
        <w:rPr>
          <w:iCs/>
          <w:i/>
        </w:rPr>
        <w:t xml:space="preserve">Asian Development Outlook April 2026: Special Topic — Artificial Intelligence in Asia and the Pacific</w:t>
      </w:r>
      <w:r>
        <w:t xml:space="preserve">. Asian Development Bank.</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 April).</w:t>
      </w:r>
      <w:r>
        <w:t xml:space="preserve"> </w:t>
      </w:r>
      <w:r>
        <w:rPr>
          <w:iCs/>
          <w:i/>
        </w:rPr>
        <w:t xml:space="preserve">Vietnam Economic Outlook 2026: Navigating the Crosscurrents</w:t>
      </w:r>
      <w:r>
        <w:t xml:space="preserve">. Asian Development Bank. https://www.adb.org/viet-nam</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p>
    <w:p>
      <w:pPr>
        <w:pStyle w:val="BodyText"/>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p>
    <w:p>
      <w:pPr>
        <w:pStyle w:val="BodyText"/>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Aguinis, H., Hill, N. S., &amp; Bailey, J. R. (2019).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Aiken, L. S., &amp; West, S. G. (1991).</w:t>
      </w:r>
      <w:r>
        <w:t xml:space="preserve"> </w:t>
      </w:r>
      <w:r>
        <w:rPr>
          <w:iCs/>
          <w:i/>
        </w:rPr>
        <w:t xml:space="preserve">Multiple regression: Testing and interpreting interactions</w:t>
      </w:r>
      <w:r>
        <w:t xml:space="preserve">. Sage.</w:t>
      </w:r>
    </w:p>
    <w:p>
      <w:pPr>
        <w:pStyle w:val="BodyText"/>
      </w:pPr>
      <w:r>
        <w:t xml:space="preserve">Al-Najjar, B., Salama, A., &amp; Abed, A. (2025). Gender and cultural diversity on boards: Their impact on internationalisation.</w:t>
      </w:r>
      <w:r>
        <w:t xml:space="preserve"> </w:t>
      </w:r>
      <w:r>
        <w:rPr>
          <w:iCs/>
          <w:i/>
        </w:rPr>
        <w:t xml:space="preserve">The International Journal of Human Resource Management, 36</w:t>
      </w:r>
      <w:r>
        <w:t xml:space="preserve">(13), 2305–2341. https://doi.org/10.1080/09585192.2025.2550765</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Arte, P., &amp; Larimo, J. (2022). Moderating influence of product diversification on the international diversification–performance relationship: A meta-analysis.</w:t>
      </w:r>
      <w:r>
        <w:t xml:space="preserve"> </w:t>
      </w:r>
      <w:r>
        <w:rPr>
          <w:iCs/>
          <w:i/>
        </w:rPr>
        <w:t xml:space="preserve">Journal of Business Research, 139</w:t>
      </w:r>
      <w:r>
        <w:t xml:space="preserve">, 281–295.</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 https://doi.org/10.1016/j.jfineco.2023.103745</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Bello, D. C., &amp; Kostova, T. (2012). From the editors: Conducting high impact international business research: The role of theory.</w:t>
      </w:r>
      <w:r>
        <w:t xml:space="preserve"> </w:t>
      </w:r>
      <w:r>
        <w:rPr>
          <w:iCs/>
          <w:i/>
        </w:rPr>
        <w:t xml:space="preserve">Journal of International Business Studies, 43</w:t>
      </w:r>
      <w:r>
        <w:t xml:space="preserve">(6), 537–543. https://doi.org/10.1057/jibs.2012.14</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Beugelsdijk, S., Kostova, T., Kunst, V. E., Spadafora, E., &amp; van Essen, M. (2018). Cultural distance and firm internationalization: A meta-analytical review and theoretical implications.</w:t>
      </w:r>
      <w:r>
        <w:t xml:space="preserve"> </w:t>
      </w:r>
      <w:r>
        <w:rPr>
          <w:iCs/>
          <w:i/>
        </w:rPr>
        <w:t xml:space="preserve">Journal of Management, 44</w:t>
      </w:r>
      <w:r>
        <w:t xml:space="preserve">(1), 89–130. https://doi.org/10.1177/0149206317729027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Bloom, N., Genakos, C., Sadun, R., &amp; Van Reenen, J. (2012). Management practices across firms and countries.</w:t>
      </w:r>
      <w:r>
        <w:t xml:space="preserve"> </w:t>
      </w:r>
      <w:r>
        <w:rPr>
          <w:iCs/>
          <w:i/>
        </w:rPr>
        <w:t xml:space="preserve">Academy of Management Perspectives, 26</w:t>
      </w:r>
      <w:r>
        <w:t xml:space="preserve">(1), 12–33. https://doi.org/10.5465/amp.2011.0077</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Buckley, P. J., &amp; Casson, M. C. (1976).</w:t>
      </w:r>
      <w:r>
        <w:t xml:space="preserve"> </w:t>
      </w:r>
      <w:r>
        <w:rPr>
          <w:iCs/>
          <w:i/>
        </w:rPr>
        <w:t xml:space="preserve">The future of the multinational enterprise</w:t>
      </w:r>
      <w:r>
        <w:t xml:space="preserve">. Macmillan.</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Cameron, A. C., &amp; Trivedi, P. K. (2005).</w:t>
      </w:r>
      <w:r>
        <w:t xml:space="preserve"> </w:t>
      </w:r>
      <w:r>
        <w:rPr>
          <w:iCs/>
          <w:i/>
        </w:rPr>
        <w:t xml:space="preserve">Microeconometrics: Methods and applications</w:t>
      </w:r>
      <w:r>
        <w:t xml:space="preserve">. Cambridge University Press.</w:t>
      </w:r>
    </w:p>
    <w:p>
      <w:pPr>
        <w:pStyle w:val="BodyText"/>
      </w:pPr>
      <w:r>
        <w:t xml:space="preserve">Cameron, A. C., Gelbach, J. B., &amp; Miller, D. L. (2008). Bootstrap-based improvements for inference with clustered errors.</w:t>
      </w:r>
      <w:r>
        <w:t xml:space="preserve"> </w:t>
      </w:r>
      <w:r>
        <w:rPr>
          <w:iCs/>
          <w:i/>
        </w:rPr>
        <w:t xml:space="preserve">Review of Economics and Statistics, 90</w:t>
      </w:r>
      <w:r>
        <w:t xml:space="preserve">(3), 414–427. https://doi.org/10.1162/rest.90.3.414</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Caves, R. E. (1971). International corporations: The industrial economics of foreign investment.</w:t>
      </w:r>
      <w:r>
        <w:t xml:space="preserve"> </w:t>
      </w:r>
      <w:r>
        <w:rPr>
          <w:iCs/>
          <w:i/>
        </w:rPr>
        <w:t xml:space="preserve">Economica, 38</w:t>
      </w:r>
      <w:r>
        <w:t xml:space="preserve">(149), 1–27.</w:t>
      </w:r>
    </w:p>
    <w:p>
      <w:pPr>
        <w:pStyle w:val="BodyText"/>
      </w:pPr>
      <w:r>
        <w:t xml:space="preserve">Cazzaniga, M., Jaumotte, F., Li, L., Melina, G., Panton, A. J., Pizzinelli, C., Rockall, E., &amp; Tavares, M. M. (2024). Gen-AI: Artificial intelligence and the future of work.</w:t>
      </w:r>
      <w:r>
        <w:t xml:space="preserve"> </w:t>
      </w:r>
      <w:r>
        <w:rPr>
          <w:iCs/>
          <w:i/>
        </w:rPr>
        <w:t xml:space="preserve">IMF Staff Discussion Note</w:t>
      </w:r>
      <w:r>
        <w:t xml:space="preserve">, SDN/2024/001. International Monetary Fund.</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Chodorow-Reich, G., Gopinath, G., Mishra, P., &amp; Narayanan, A. (2020). Cash and the economy: Evidence from India’s demonetization.</w:t>
      </w:r>
      <w:r>
        <w:t xml:space="preserve"> </w:t>
      </w:r>
      <w:r>
        <w:rPr>
          <w:iCs/>
          <w:i/>
        </w:rPr>
        <w:t xml:space="preserve">Quarterly Journal of Economics, 135</w:t>
      </w:r>
      <w:r>
        <w:t xml:space="preserve">(1), 57–103. https://doi.org/10.1093/qje/qjz027</w:t>
      </w:r>
    </w:p>
    <w:p>
      <w:pPr>
        <w:pStyle w:val="BodyText"/>
      </w:pPr>
      <w:r>
        <w:t xml:space="preserve">CIEM. (2023).</w:t>
      </w:r>
      <w:r>
        <w:t xml:space="preserve"> </w:t>
      </w:r>
      <w:r>
        <w:rPr>
          <w:iCs/>
          <w:i/>
        </w:rPr>
        <w:t xml:space="preserve">Báo cáo Năng lực cạnh tranh và hiệu quả hoạt động kinh doanh của doanh nghiệp Việt Nam 2023</w:t>
      </w:r>
      <w:r>
        <w:t xml:space="preserve"> </w:t>
      </w:r>
      <w:r>
        <w:t xml:space="preserve">[Central Institute for Economic Management]. Nhà xuất bản Khoa học và Kỹ thuật.</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 https://doi.org/10.1016/S1479-8387(05)02011-4</w:t>
      </w:r>
    </w:p>
    <w:p>
      <w:pPr>
        <w:pStyle w:val="BodyText"/>
      </w:pPr>
      <w:r>
        <w:t xml:space="preserve">Combs, J. G., Ketchen, D. J., Crook, T. R., &amp; Roth, P. L. (2011). Assessing cumulative evidence within</w:t>
      </w:r>
      <w:r>
        <w:t xml:space="preserve"> </w:t>
      </w:r>
      <w:r>
        <w:t xml:space="preserve">“</w:t>
      </w:r>
      <w:r>
        <w:t xml:space="preserve">macro</w:t>
      </w:r>
      <w:r>
        <w:t xml:space="preserve">”</w:t>
      </w:r>
      <w:r>
        <w:t xml:space="preserve"> </w:t>
      </w:r>
      <w:r>
        <w:t xml:space="preserve">research: Why meta-analysis should be preferred over vote counting.</w:t>
      </w:r>
      <w:r>
        <w:t xml:space="preserve"> </w:t>
      </w:r>
      <w:r>
        <w:rPr>
          <w:iCs/>
          <w:i/>
        </w:rPr>
        <w:t xml:space="preserve">Journal of Management Studies, 48</w:t>
      </w:r>
      <w:r>
        <w:t xml:space="preserve">(1), 178–197. https://doi.org/10.1111/j.1467-6486.2009.00899.x</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Corley, K. G., &amp; Gioia, D. A. (2011). Building theory about theory building: What constitutes a theoretical contribution?</w:t>
      </w:r>
      <w:r>
        <w:t xml:space="preserve"> </w:t>
      </w:r>
      <w:r>
        <w:rPr>
          <w:iCs/>
          <w:i/>
        </w:rPr>
        <w:t xml:space="preserve">Academy of Management Review, 36</w:t>
      </w:r>
      <w:r>
        <w:t xml:space="preserve">(1), 12–32. https://doi.org/10.5465/amr.2009.0486</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Dawson, J. F. (2014). Moderation in management research: What, why, when, and how.</w:t>
      </w:r>
      <w:r>
        <w:t xml:space="preserve"> </w:t>
      </w:r>
      <w:r>
        <w:rPr>
          <w:iCs/>
          <w:i/>
        </w:rPr>
        <w:t xml:space="preserve">Journal of Business and Psychology, 29</w:t>
      </w:r>
      <w:r>
        <w:t xml:space="preserve">(1), 1–19. https://doi.org/10.1007/s10869-013-9308-7</w:t>
      </w:r>
    </w:p>
    <w:p>
      <w:pPr>
        <w:pStyle w:val="BodyText"/>
      </w:pPr>
      <w:r>
        <w:t xml:space="preserve">Deaton, A. (1985). Panel data from a time series of cross-sections.</w:t>
      </w:r>
      <w:r>
        <w:t xml:space="preserve"> </w:t>
      </w:r>
      <w:r>
        <w:rPr>
          <w:iCs/>
          <w:i/>
        </w:rPr>
        <w:t xml:space="preserve">Journal of Econometrics, 30</w:t>
      </w:r>
      <w:r>
        <w:t xml:space="preserve">(1–2), 109–126. https://doi.org/10.1016/0304-4076(85)90134-4</w:t>
      </w:r>
      <w:r>
        <w:t xml:space="preserve"> </w:t>
      </w:r>
      <w:r>
        <w:rPr>
          <w:iCs/>
          <w:i/>
        </w:rPr>
        <w:t xml:space="preserve">(Cơ sở repeated cross-sections — Phụ lục A.1, A.6.)</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Do, T. H., &amp; Phan, A. T. (2024, December 12).</w:t>
      </w:r>
      <w:r>
        <w:t xml:space="preserve"> </w:t>
      </w:r>
      <w:r>
        <w:rPr>
          <w:iCs/>
          <w:i/>
        </w:rPr>
        <w:t xml:space="preserve">Internationalization and firm performance: A meta-analysis review</w:t>
      </w:r>
      <w:r>
        <w:t xml:space="preserve"> </w:t>
      </w:r>
      <w:r>
        <w:t xml:space="preserve">[Conference presentation]. The 6th International Conference on Economics, Business and Finance, College of Economics, Can Tho University, Can Tho, Vietnam.</w:t>
      </w:r>
    </w:p>
    <w:p>
      <w:pPr>
        <w:pStyle w:val="BodyText"/>
      </w:pPr>
      <w:r>
        <w:t xml:space="preserve">Do, T. H., &amp; Phan, A. T. (2025). Internationalization and firm performance of firms in India: The role of top management. In M. Bartekova (Ed.),</w:t>
      </w:r>
      <w:r>
        <w:t xml:space="preserve"> </w:t>
      </w:r>
      <w:r>
        <w:rPr>
          <w:iCs/>
          <w:i/>
        </w:rPr>
        <w:t xml:space="preserve">International business research: Traditional and creative approaches</w:t>
      </w:r>
      <w:r>
        <w:t xml:space="preserve">. IntechOpen. https://doi.org/10.5772/intechopen.1011012</w:t>
      </w:r>
    </w:p>
    <w:p>
      <w:pPr>
        <w:pStyle w:val="BodyText"/>
      </w:pPr>
      <w:r>
        <w:t xml:space="preserve">Drori, N., Alessandri, T., Bart, Y., &amp; Herstein, R. (2024). The impact of digitalization on internationalization from an internalization theory lens.</w:t>
      </w:r>
      <w:r>
        <w:t xml:space="preserve"> </w:t>
      </w:r>
      <w:r>
        <w:rPr>
          <w:iCs/>
          <w:i/>
        </w:rPr>
        <w:t xml:space="preserve">Long Range Planning, 57</w:t>
      </w:r>
      <w:r>
        <w:t xml:space="preserve">(1), 102395. https://doi.org/10.1016/j.lrp.2023.102395</w:t>
      </w:r>
    </w:p>
    <w:p>
      <w:pPr>
        <w:pStyle w:val="BodyText"/>
      </w:pPr>
      <w:r>
        <w:t xml:space="preserve">Dunning, J. H. (1988). The eclectic paradigm of international production: A restatement and some possible extensions.</w:t>
      </w:r>
      <w:r>
        <w:t xml:space="preserve"> </w:t>
      </w:r>
      <w:r>
        <w:rPr>
          <w:iCs/>
          <w:i/>
        </w:rPr>
        <w:t xml:space="preserve">Journal of International Business Studies, 19</w:t>
      </w:r>
      <w:r>
        <w:t xml:space="preserve">(1), 1–31. https://doi.org/10.1057/palgrave.jibs.8490372</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Fariborzi, H., Verbeke, A., &amp; Steel, P. (2025). Early internationalization: A meta-analysis of antecedents, dimensions, and performance.</w:t>
      </w:r>
      <w:r>
        <w:t xml:space="preserve"> </w:t>
      </w:r>
      <w:r>
        <w:rPr>
          <w:iCs/>
          <w:i/>
        </w:rPr>
        <w:t xml:space="preserve">Journal of Management Studies</w:t>
      </w:r>
      <w:r>
        <w:t xml:space="preserve">. https://doi.org/10.1111/joms.70008</w:t>
      </w:r>
    </w:p>
    <w:p>
      <w:pPr>
        <w:pStyle w:val="BodyText"/>
      </w:pPr>
      <w:r>
        <w:t xml:space="preserve">Feenstra, R. C., Inklaar, R., &amp; Timmer, M. P. (2015). The next generation of the Penn World Table.</w:t>
      </w:r>
      <w:r>
        <w:t xml:space="preserve"> </w:t>
      </w:r>
      <w:r>
        <w:rPr>
          <w:iCs/>
          <w:i/>
        </w:rPr>
        <w:t xml:space="preserve">American Economic Review, 105</w:t>
      </w:r>
      <w:r>
        <w:t xml:space="preserve">(10), 3150–3182. https://doi.org/10.1257/aer.20130954</w:t>
      </w:r>
      <w:r>
        <w:t xml:space="preserve"> </w:t>
      </w:r>
      <w:r>
        <w:rPr>
          <w:iCs/>
          <w:i/>
        </w:rPr>
        <w:t xml:space="preserve">(Điều chỉnh PPP cho so sánh mức xuyên quốc gia — Phụ lục A.5.)</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Gallegos Mardones, J., &amp; Ibáñez, M. J. (2025). Women’s participation in top management business positions and the internationalization process: Evidence for Chilean companies.</w:t>
      </w:r>
      <w:r>
        <w:t xml:space="preserve"> </w:t>
      </w:r>
      <w:r>
        <w:rPr>
          <w:iCs/>
          <w:i/>
        </w:rPr>
        <w:t xml:space="preserve">SAGE Open, 15</w:t>
      </w:r>
      <w:r>
        <w:t xml:space="preserve">(2), 1–17. https://doi.org/10.1177/21582440251335079</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p>
    <w:p>
      <w:pPr>
        <w:pStyle w:val="BodyText"/>
      </w:pPr>
      <w:r>
        <w:t xml:space="preserve">Grant, R. M. (1987). Multinationality and performance among British manufacturing companies.</w:t>
      </w:r>
      <w:r>
        <w:t xml:space="preserve"> </w:t>
      </w:r>
      <w:r>
        <w:rPr>
          <w:iCs/>
          <w:i/>
        </w:rPr>
        <w:t xml:space="preserve">Journal of International Business Studies, 18</w:t>
      </w:r>
      <w:r>
        <w:t xml:space="preserve">(3), 79–89. https://doi.org/10.1057/palgrave.jibs.8490413</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Grego, M., Buckley, P. J., Munjal, S., Voss, H., &amp; Wang, E. Y. (2025). Managers and internationalization decisions: An affect-enacted model.</w:t>
      </w:r>
      <w:r>
        <w:t xml:space="preserve"> </w:t>
      </w:r>
      <w:r>
        <w:rPr>
          <w:iCs/>
          <w:i/>
        </w:rPr>
        <w:t xml:space="preserve">Global Strategy Journal, 15</w:t>
      </w:r>
      <w:r>
        <w:t xml:space="preserve">(3), 317–345. https://doi.org/10.1002/gsj.1516</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Hemmert, M., &amp; Jackson, K. (2016). Is there an East Asian model of MNC internationalization? A comparative analysis of Japanese and Korean firms.</w:t>
      </w:r>
      <w:r>
        <w:t xml:space="preserve"> </w:t>
      </w:r>
      <w:r>
        <w:rPr>
          <w:iCs/>
          <w:i/>
        </w:rPr>
        <w:t xml:space="preserve">Asia Pacific Business Review, 22</w:t>
      </w:r>
      <w:r>
        <w:t xml:space="preserve">(4), 567–594. https://doi.org/10.1080/13602381.2016.1168617</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 https://doi.org/10.1007/s11187-008-9156-4</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Hitt, M. A., Tihanyi, L., Miller, T., &amp; Connelly, B. (2006). International diversification: Antecedents, outcomes, and moderators.</w:t>
      </w:r>
      <w:r>
        <w:t xml:space="preserve"> </w:t>
      </w:r>
      <w:r>
        <w:rPr>
          <w:iCs/>
          <w:i/>
        </w:rPr>
        <w:t xml:space="preserve">Journal of Management, 32</w:t>
      </w:r>
      <w:r>
        <w:t xml:space="preserve">(6), 831–867. https://doi.org/10.1177/0149206306293575</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Hunter, J. E., &amp; Schmidt, F. L. (2004).</w:t>
      </w:r>
      <w:r>
        <w:t xml:space="preserve"> </w:t>
      </w:r>
      <w:r>
        <w:rPr>
          <w:iCs/>
          <w:i/>
        </w:rPr>
        <w:t xml:space="preserve">Methods of meta-analysis: Correcting error and bias in research findings</w:t>
      </w:r>
      <w:r>
        <w:t xml:space="preserve"> </w:t>
      </w:r>
      <w:r>
        <w:t xml:space="preserve">(2nd ed.). Sage.</w:t>
      </w:r>
    </w:p>
    <w:p>
      <w:pPr>
        <w:pStyle w:val="BodyText"/>
      </w:pPr>
      <w:r>
        <w:t xml:space="preserve">Hymer, S. H. (1976).</w:t>
      </w:r>
      <w:r>
        <w:t xml:space="preserve"> </w:t>
      </w:r>
      <w:r>
        <w:rPr>
          <w:iCs/>
          <w:i/>
        </w:rPr>
        <w:t xml:space="preserve">The international operations of national firms: A study of direct foreign investment</w:t>
      </w:r>
      <w:r>
        <w:t xml:space="preserve">. MIT Press.</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International Finance Corporation. (n.d.).</w:t>
      </w:r>
      <w:r>
        <w:t xml:space="preserve"> </w:t>
      </w:r>
      <w:r>
        <w:rPr>
          <w:iCs/>
          <w:i/>
        </w:rPr>
        <w:t xml:space="preserve">Private Sector Development Blueprint: Decoding the World Bank Enterprise Surveys</w:t>
      </w:r>
      <w:r>
        <w:t xml:space="preserve">. World Bank Group.</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Kafouros, M., Aliyev, M., Piperopoulos, P., Au, A. K. M., Ho, J. W. Y., &amp; Wong, S. Y. N. (2023). The role of institutional quality and industry dynamism in explaining firm performance in emerging economies.</w:t>
      </w:r>
      <w:r>
        <w:t xml:space="preserve"> </w:t>
      </w:r>
      <w:r>
        <w:rPr>
          <w:iCs/>
          <w:i/>
        </w:rPr>
        <w:t xml:space="preserve">Global Strategy Journal, 14</w:t>
      </w:r>
      <w:r>
        <w:t xml:space="preserve">(1), 56–83. https://doi.org/10.1002/gsj.1479</w:t>
      </w:r>
    </w:p>
    <w:p>
      <w:pPr>
        <w:pStyle w:val="BodyText"/>
      </w:pPr>
      <w:r>
        <w:t xml:space="preserve">Kalubandi, S. C., Sharma, D., Edacherian, S., &amp; Karna, A. (2025). Role of foreign market knowledge and home country institutions in international entrepreneurship-performance relationship: A meta-analysis.</w:t>
      </w:r>
      <w:r>
        <w:t xml:space="preserve"> </w:t>
      </w:r>
      <w:r>
        <w:rPr>
          <w:iCs/>
          <w:i/>
        </w:rPr>
        <w:t xml:space="preserve">Asia Pacific Journal of Management</w:t>
      </w:r>
      <w:r>
        <w:t xml:space="preserve">. https://doi.org/10.1007/s10490-025-10076-8</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p>
    <w:p>
      <w:pPr>
        <w:pStyle w:val="BodyText"/>
      </w:pPr>
      <w:r>
        <w:t xml:space="preserve">Kim, W. C., Hwang, P., &amp; Burgers, W. P. (1989). Global diversification strategy and corporate profit performance.</w:t>
      </w:r>
      <w:r>
        <w:t xml:space="preserve"> </w:t>
      </w:r>
      <w:r>
        <w:rPr>
          <w:iCs/>
          <w:i/>
        </w:rPr>
        <w:t xml:space="preserve">Strategic Management Journal, 10</w:t>
      </w:r>
      <w:r>
        <w:t xml:space="preserve">(1), 45–57. https://doi.org/10.1002/smj.4250100105</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Little, R. J. A., &amp; Rubin, D. B. (2019).</w:t>
      </w:r>
      <w:r>
        <w:t xml:space="preserve"> </w:t>
      </w:r>
      <w:r>
        <w:rPr>
          <w:iCs/>
          <w:i/>
        </w:rPr>
        <w:t xml:space="preserve">Statistical analysis with missing data</w:t>
      </w:r>
      <w:r>
        <w:t xml:space="preserve"> </w:t>
      </w:r>
      <w:r>
        <w:t xml:space="preserve">(3rd ed.). John Wiley &amp; Sons. https://doi.org/10.1002/9781119482260</w:t>
      </w:r>
      <w:r>
        <w:t xml:space="preserve"> </w:t>
      </w:r>
      <w:r>
        <w:rPr>
          <w:iCs/>
          <w:i/>
        </w:rPr>
        <w:t xml:space="preserve">(Xử lý dữ liệu thiếu, listwise/MAR — Phụ lục A.9.)</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 https://doi.org/10.1057/palgrave.jibs.8400275</w:t>
      </w:r>
    </w:p>
    <w:p>
      <w:pPr>
        <w:pStyle w:val="BodyText"/>
      </w:pPr>
      <w:r>
        <w:t xml:space="preserve">MacKinnon, J. G., &amp; Webb, M. D. (2017). Wild bootstrap inference for wildly different cluster sizes.</w:t>
      </w:r>
      <w:r>
        <w:t xml:space="preserve"> </w:t>
      </w:r>
      <w:r>
        <w:rPr>
          <w:iCs/>
          <w:i/>
        </w:rPr>
        <w:t xml:space="preserve">Journal of Applied Econometrics, 32</w:t>
      </w:r>
      <w:r>
        <w:t xml:space="preserve">(2), 233–254. https://doi.org/10.1002/jae.2508</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Malerba, F., &amp; Orsenigo, L. (1995). Schumpeterian patterns of innovation.</w:t>
      </w:r>
      <w:r>
        <w:t xml:space="preserve"> </w:t>
      </w:r>
      <w:r>
        <w:rPr>
          <w:iCs/>
          <w:i/>
        </w:rPr>
        <w:t xml:space="preserve">Cambridge Journal of Economics, 19</w:t>
      </w:r>
      <w:r>
        <w:t xml:space="preserve">(1), 47–65. https://doi.org/10.1093/oxfordjournals.cje.a035301</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 T. T., Do, T. H., &amp; Phan, A. T. (2026).</w:t>
      </w:r>
      <w:r>
        <w:t xml:space="preserve"> </w:t>
      </w:r>
      <w:r>
        <w:rPr>
          <w:iCs/>
          <w:i/>
        </w:rPr>
        <w:t xml:space="preserve">Digital adoption and the internationalization–performance curve: Evidence from Singapore firms</w:t>
      </w:r>
      <w:r>
        <w:t xml:space="preserve"> </w:t>
      </w:r>
      <w:r>
        <w:t xml:space="preserve">[Manuscript in preparation].</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Mizik, N., &amp; Jacobson, R. (2003). Trading off between value creation and value appropriation: The financial implications of shifts in strategic emphasis.</w:t>
      </w:r>
      <w:r>
        <w:t xml:space="preserve"> </w:t>
      </w:r>
      <w:r>
        <w:rPr>
          <w:iCs/>
          <w:i/>
        </w:rPr>
        <w:t xml:space="preserve">Journal of Marketing, 67</w:t>
      </w:r>
      <w:r>
        <w:t xml:space="preserve">(1), 63–76. https://doi.org/10.1509/jmkg.67.1.63.18595</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Mondal, A., Ray, S., &amp; Lahiri, S. (2022). Family ownership, family management, and multinationality: Evidence from India.</w:t>
      </w:r>
      <w:r>
        <w:t xml:space="preserve"> </w:t>
      </w:r>
      <w:r>
        <w:rPr>
          <w:iCs/>
          <w:i/>
        </w:rPr>
        <w:t xml:space="preserve">Journal of Business Research, 138</w:t>
      </w:r>
      <w:r>
        <w:t xml:space="preserve">, 347–359. https://doi.org/10.1016/j.jbusres.2021.09.017</w:t>
      </w:r>
    </w:p>
    <w:p>
      <w:pPr>
        <w:pStyle w:val="BodyText"/>
      </w:pPr>
      <w:r>
        <w:t xml:space="preserve">Murhadi, W. R., Setiawan, S. S., &amp; Ernawati, E. (2025). Governance and internationalisation on firm performance: A case study in Indonesia and Malaysia.</w:t>
      </w:r>
      <w:r>
        <w:t xml:space="preserve"> </w:t>
      </w:r>
      <w:r>
        <w:rPr>
          <w:iCs/>
          <w:i/>
        </w:rPr>
        <w:t xml:space="preserve">Revista de Métodos Cuantitativos para la Economía y la Empresa, 40</w:t>
      </w:r>
      <w:r>
        <w:t xml:space="preserve">, 1–15. https://doi.org/10.46661/rev.metodoscuant.econ.empresa.10865</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Nielsen, S. (2010). Top management team internationalization and firm performance: The mediating role of foreign market entry.</w:t>
      </w:r>
      <w:r>
        <w:t xml:space="preserve"> </w:t>
      </w:r>
      <w:r>
        <w:rPr>
          <w:iCs/>
          <w:i/>
        </w:rPr>
        <w:t xml:space="preserve">Management International Review, 50</w:t>
      </w:r>
      <w:r>
        <w:t xml:space="preserve">(2), 185–206. https://doi.org/10.1007/s11575-010-0029-0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Pan, Y., Verbeke, A., &amp; Yuan, W. (2021). CEO transformational leadership and corporate entrepreneurship in China.</w:t>
      </w:r>
      <w:r>
        <w:t xml:space="preserve"> </w:t>
      </w:r>
      <w:r>
        <w:rPr>
          <w:iCs/>
          <w:i/>
        </w:rPr>
        <w:t xml:space="preserve">Management and Organization Review, 17</w:t>
      </w:r>
      <w:r>
        <w:t xml:space="preserve">(1), 45–76. https://doi.org/10.1017/mor.2020.59</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Peng, M. W. (2001). The resource-based view and international business.</w:t>
      </w:r>
      <w:r>
        <w:t xml:space="preserve"> </w:t>
      </w:r>
      <w:r>
        <w:rPr>
          <w:iCs/>
          <w:i/>
        </w:rPr>
        <w:t xml:space="preserve">Journal of Management, 27</w:t>
      </w:r>
      <w:r>
        <w:t xml:space="preserve">(6), 803–829. https://doi.org/10.1177/014920630102700604</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 https://doi.org/10.1057/palgrave.jibs.8490011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Phan, A. T., Do, T. H., &amp; Phan, M. T. (2020b). The moderating effects of managers’ experience and gender on internationalization and firm performance of manufacturing enterprises in Turkey.</w:t>
      </w:r>
      <w:r>
        <w:t xml:space="preserve"> </w:t>
      </w:r>
      <w:r>
        <w:rPr>
          <w:iCs/>
          <w:i/>
        </w:rPr>
        <w:t xml:space="preserve">Accounting, 6</w:t>
      </w:r>
      <w:r>
        <w:t xml:space="preserve">(7), 1209–1216. https://doi.org/10.5267/j.ac.2020.9.006</w:t>
      </w:r>
    </w:p>
    <w:p>
      <w:pPr>
        <w:pStyle w:val="BodyText"/>
      </w:pPr>
      <w:r>
        <w:t xml:space="preserve">Phan, A. T., Nguyen, V. S., Dinh, V. T., Thai, V. H., Nguyen, C. T., Dao, Q. T., Nguyen, V. L., &amp; Do, T. H. (2021). The moderating effects of the manager’s characteristics and financial obstacles on internationalization and firm performance in Poland.</w:t>
      </w:r>
      <w:r>
        <w:t xml:space="preserve"> </w:t>
      </w:r>
      <w:r>
        <w:rPr>
          <w:iCs/>
          <w:i/>
        </w:rPr>
        <w:t xml:space="preserve">PalArch’s Journal of Archaeology of Egypt/Egyptology, 18</w:t>
      </w:r>
      <w:r>
        <w:t xml:space="preserve">(4), 4063–4081.</w:t>
      </w:r>
    </w:p>
    <w:p>
      <w:pPr>
        <w:pStyle w:val="BodyText"/>
      </w:pPr>
      <w:r>
        <w:t xml:space="preserve">Phan, A. T., Tran, T. M., &amp; Lu, T. M. (2020a).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Sambharya, R. B. (1996). Foreign experience of top management teams and international diversification strategies of U.S. multinational corporations.</w:t>
      </w:r>
      <w:r>
        <w:t xml:space="preserve"> </w:t>
      </w:r>
      <w:r>
        <w:rPr>
          <w:iCs/>
          <w:i/>
        </w:rPr>
        <w:t xml:space="preserve">Strategic Management Journal, 17</w:t>
      </w:r>
      <w:r>
        <w:t xml:space="preserve">(9), 739–746. https://doi.org/10.1002/(SICI)1097-0266(199611)17:9&lt;739::AID-SMJ846&gt;3.0.CO;2-K</w:t>
      </w:r>
    </w:p>
    <w:p>
      <w:pPr>
        <w:pStyle w:val="BodyText"/>
      </w:pPr>
      <w:r>
        <w:t xml:space="preserve">Santangelo, G. D., &amp; Verbeke, A. (2022). Actionable guidelines to improve</w:t>
      </w:r>
      <w:r>
        <w:t xml:space="preserve"> </w:t>
      </w:r>
      <w:r>
        <w:t xml:space="preserve">‘</w:t>
      </w:r>
      <w:r>
        <w:t xml:space="preserve">theory-related</w:t>
      </w:r>
      <w:r>
        <w:t xml:space="preserve">’</w:t>
      </w:r>
      <w:r>
        <w:t xml:space="preserve"> </w:t>
      </w:r>
      <w:r>
        <w:t xml:space="preserve">contributions to international business research.</w:t>
      </w:r>
      <w:r>
        <w:t xml:space="preserve"> </w:t>
      </w:r>
      <w:r>
        <w:rPr>
          <w:iCs/>
          <w:i/>
        </w:rPr>
        <w:t xml:space="preserve">Journal of International Business Studies, 53</w:t>
      </w:r>
      <w:r>
        <w:t xml:space="preserve">(9), 1843–1855. https://doi.org/10.1057/s41267-022-00567-x</w:t>
      </w:r>
    </w:p>
    <w:p>
      <w:pPr>
        <w:pStyle w:val="BodyText"/>
      </w:pPr>
      <w:r>
        <w:t xml:space="preserve">Sasabuchi, S. (1980). A test of a multivariate normal mean with composite hypotheses determined by linear inequalities.</w:t>
      </w:r>
      <w:r>
        <w:t xml:space="preserve"> </w:t>
      </w:r>
      <w:r>
        <w:rPr>
          <w:iCs/>
          <w:i/>
        </w:rPr>
        <w:t xml:space="preserve">Biometrika, 67</w:t>
      </w:r>
      <w:r>
        <w:t xml:space="preserve">(2), 429–439. https://doi.org/10.1093/biomet/67.2.429</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Scott, W. R. (1995).</w:t>
      </w:r>
      <w:r>
        <w:t xml:space="preserve"> </w:t>
      </w:r>
      <w:r>
        <w:rPr>
          <w:iCs/>
          <w:i/>
        </w:rPr>
        <w:t xml:space="preserve">Institutions and organizations</w:t>
      </w:r>
      <w:r>
        <w:t xml:space="preserve">. Sage.</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Sikdar, S., &amp; Mukhopadhyay, A. (2026). Productivity gains in Indian manufacturing: Insights from formal and informal sectors.</w:t>
      </w:r>
      <w:r>
        <w:t xml:space="preserve"> </w:t>
      </w:r>
      <w:r>
        <w:rPr>
          <w:iCs/>
          <w:i/>
        </w:rPr>
        <w:t xml:space="preserve">Asian Development Review, 43</w:t>
      </w:r>
      <w:r>
        <w:t xml:space="preserve">(1), Article 12. Asian Development Bank.</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 https://doi.org/10.1057/palgrave.jibs.8490203</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Thomas, D. C., Cuervo-Cazurra, A., &amp; Brannen, M. Y. (2011). From the Editors: Explaining theoretical relationships in international business research: Focusing on the arrows, NOT the boxes.</w:t>
      </w:r>
      <w:r>
        <w:t xml:space="preserve"> </w:t>
      </w:r>
      <w:r>
        <w:rPr>
          <w:iCs/>
          <w:i/>
        </w:rPr>
        <w:t xml:space="preserve">Journal of International Business Studies, 42</w:t>
      </w:r>
      <w:r>
        <w:t xml:space="preserve">(9), 1073–1080. https://doi.org/10.1057/jibs.2011.47</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Verbeek, M. (2008). Pseudo-panels and repeated cross-sections. In L. Mátyás &amp; P. Sevestre (Eds.),</w:t>
      </w:r>
      <w:r>
        <w:t xml:space="preserve"> </w:t>
      </w:r>
      <w:r>
        <w:rPr>
          <w:iCs/>
          <w:i/>
        </w:rPr>
        <w:t xml:space="preserve">The econometrics of panel data</w:t>
      </w:r>
      <w:r>
        <w:t xml:space="preserve"> </w:t>
      </w:r>
      <w:r>
        <w:t xml:space="preserve">(3rd ed., pp. 369–383). Springer. https://doi.org/10.1007/978-3-540-75892-1_11</w:t>
      </w:r>
      <w:r>
        <w:t xml:space="preserve"> </w:t>
      </w:r>
      <w:r>
        <w:rPr>
          <w:iCs/>
          <w:i/>
        </w:rPr>
        <w:t xml:space="preserve">(Khung lát cắt ngang lặp lại — Phụ lục A.1, A.6.)</w:t>
      </w:r>
    </w:p>
    <w:p>
      <w:pPr>
        <w:pStyle w:val="BodyText"/>
      </w:pPr>
      <w:r>
        <w:t xml:space="preserve">Verbeke, A., Eschmann, D., &amp; Gugler, P. (2025). Asymmetries in firm-level globalization: The case of Swiss multinational enterprises.</w:t>
      </w:r>
      <w:r>
        <w:t xml:space="preserve"> </w:t>
      </w:r>
      <w:r>
        <w:rPr>
          <w:iCs/>
          <w:i/>
        </w:rPr>
        <w:t xml:space="preserve">Management International Review, 65</w:t>
      </w:r>
      <w:r>
        <w:t xml:space="preserve">(2), 305–328. https://doi.org/10.1007/s11575-025-00568-6</w:t>
      </w:r>
    </w:p>
    <w:p>
      <w:pPr>
        <w:pStyle w:val="BodyText"/>
      </w:pPr>
      <w:r>
        <w:t xml:space="preserve">Verbeke, A., Oh, C. H., &amp; Jain, R. (2025). What is the future of regional multinational enterprises?</w:t>
      </w:r>
      <w:r>
        <w:t xml:space="preserve"> </w:t>
      </w:r>
      <w:r>
        <w:rPr>
          <w:iCs/>
          <w:i/>
        </w:rPr>
        <w:t xml:space="preserve">International Business Review</w:t>
      </w:r>
      <w:r>
        <w:t xml:space="preserve">. https://doi.org/10.1016/j.ibusrev.2025.102442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(1966). International investment and international trade in the product cycle.</w:t>
      </w:r>
      <w:r>
        <w:t xml:space="preserve"> </w:t>
      </w:r>
      <w:r>
        <w:rPr>
          <w:iCs/>
          <w:i/>
        </w:rPr>
        <w:t xml:space="preserve">The Quarterly Journal of Economics, 80</w:t>
      </w:r>
      <w:r>
        <w:t xml:space="preserve">(2), 190–207.</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Wach, K. (2021). The evolution of the Uppsala model: Towards non-linearity of internationalization of firms.</w:t>
      </w:r>
      <w:r>
        <w:t xml:space="preserve"> </w:t>
      </w:r>
      <w:r>
        <w:rPr>
          <w:iCs/>
          <w:i/>
        </w:rPr>
        <w:t xml:space="preserve">International Entrepreneurship Review, 7</w:t>
      </w:r>
      <w:r>
        <w:t xml:space="preserve">(2), 7–19. https://doi.org/10.15678/IER.2021.0702.01</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 https://doi.org/10.1016/j.irfa.2024.103249</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Whetten, D. A. (1989). What constitutes a theoretical contribution?</w:t>
      </w:r>
      <w:r>
        <w:t xml:space="preserve"> </w:t>
      </w:r>
      <w:r>
        <w:rPr>
          <w:iCs/>
          <w:i/>
        </w:rPr>
        <w:t xml:space="preserve">Academy of Management Review, 14</w:t>
      </w:r>
      <w:r>
        <w:t xml:space="preserve">(4), 490–495. https://doi.org/10.5465/amr.1989.4308371</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Williamson, O. E. (2000). The new institutional economics: Taking stock, looking ahead.</w:t>
      </w:r>
      <w:r>
        <w:t xml:space="preserve"> </w:t>
      </w:r>
      <w:r>
        <w:rPr>
          <w:iCs/>
          <w:i/>
        </w:rPr>
        <w:t xml:space="preserve">Journal of Economic Literature, 38</w:t>
      </w:r>
      <w:r>
        <w:t xml:space="preserve">(3), 595–613. https://doi.org/10.1257/jel.38.3.595</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(2025, July 1).</w:t>
      </w:r>
      <w:r>
        <w:t xml:space="preserve"> </w:t>
      </w:r>
      <w:r>
        <w:rPr>
          <w:iCs/>
          <w:i/>
        </w:rPr>
        <w:t xml:space="preserve">Hướng dẫn học tập: Hệ thống phân loại quốc gia và khảo sát doanh nghiệp của Ngân hàng Thế giới (FY26)</w:t>
      </w:r>
      <w:r>
        <w:t xml:space="preserve"> </w:t>
      </w:r>
      <w:r>
        <w:t xml:space="preserve">[Learning guide: World Bank country classification system FY26]. World Bank.</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t xml:space="preserve">World Bank. (2026c). Frontier market economies: Promise, performance, and prospects. In</w:t>
      </w:r>
      <w:r>
        <w:t xml:space="preserve"> </w:t>
      </w:r>
      <w:r>
        <w:rPr>
          <w:iCs/>
          <w:i/>
        </w:rPr>
        <w:t xml:space="preserve">Global Economic Prospects, January 2026</w:t>
      </w:r>
      <w:r>
        <w:t xml:space="preserve"> </w:t>
      </w:r>
      <w:r>
        <w:t xml:space="preserve">(Chapter 4). World Bank Group. https://doi.org/10.1596/978-1-4648-2148-6</w:t>
      </w:r>
    </w:p>
    <w:p>
      <w:pPr>
        <w:pStyle w:val="BodyText"/>
      </w:pPr>
      <w:r>
        <w:t xml:space="preserve">World Bank. (2026d, April).</w:t>
      </w:r>
      <w:r>
        <w:t xml:space="preserve"> </w:t>
      </w:r>
      <w:r>
        <w:rPr>
          <w:iCs/>
          <w:i/>
        </w:rPr>
        <w:t xml:space="preserve">Commodity markets outlook, April 2026</w:t>
      </w:r>
      <w:r>
        <w:t xml:space="preserve">. World Bank Group.</w:t>
      </w:r>
    </w:p>
    <w:p>
      <w:pPr>
        <w:pStyle w:val="BodyText"/>
      </w:pPr>
      <w:r>
        <w:t xml:space="preserve">World Bank. (2026e).</w:t>
      </w:r>
      <w:r>
        <w:t xml:space="preserve"> </w:t>
      </w:r>
      <w:r>
        <w:rPr>
          <w:iCs/>
          <w:i/>
        </w:rPr>
        <w:t xml:space="preserve">Public institutions in the age of AI: Emerging practices</w:t>
      </w:r>
      <w:r>
        <w:t xml:space="preserve"> </w:t>
      </w:r>
      <w:r>
        <w:t xml:space="preserve">(Prosperity Insight Series). World Bank Group, GovTech and Public Sector Innovation.</w:t>
      </w:r>
    </w:p>
    <w:p>
      <w:pPr>
        <w:pStyle w:val="BodyText"/>
      </w:pPr>
      <w:r>
        <w:t xml:space="preserve">World Bank. (n.d.).</w:t>
      </w:r>
      <w:r>
        <w:t xml:space="preserve"> </w:t>
      </w:r>
      <w:r>
        <w:rPr>
          <w:iCs/>
          <w:i/>
        </w:rPr>
        <w:t xml:space="preserve">Tài liệu tóm tắt: Các chỉ số khảo sát doanh nghiệp Enterprise Surveys</w:t>
      </w:r>
      <w:r>
        <w:t xml:space="preserve"> </w:t>
      </w:r>
      <w:r>
        <w:t xml:space="preserve">[Summary document: Enterprise Survey indicators]. World Bank. https://www.enterprisesurveys.org</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Xu, J. (2024). Rethinking institutional arbitrage: De jure exposure and de facto enforcement.</w:t>
      </w:r>
      <w:r>
        <w:t xml:space="preserve"> </w:t>
      </w:r>
      <w:r>
        <w:rPr>
          <w:iCs/>
          <w:i/>
        </w:rPr>
        <w:t xml:space="preserve">Global Strategy Journal, 14</w:t>
      </w:r>
      <w:r>
        <w:t xml:space="preserve">(4), 754–799. https://doi.org/10.1002/gsj.1510</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p>
      <w:pPr>
        <w:pStyle w:val="BodyText"/>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bookmarkEnd w:id="2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customStyle="1" w:styleId="SourceCode" w:type="paragraph">
    <w:name w:val="Source Code"/>
    <w:basedOn w:val="Normal"/>
    <w:link w:val="VerbatimChar"/>
    <w:pPr>
      <w:wordWrap w:val="off"/>
      <w:spacing w:line="288" w:lineRule="auto"/>
      <w:jc w:val="both"/>
    </w:pPr>
    <w:rPr>
      <w:rFonts w:ascii="Times New Roman" w:eastAsia="Times New Roman" w:hAnsi="Times New Roman"/>
      <w:color w:val="000000"/>
      <w:sz w:val="26"/>
    </w:rPr>
  </w:style>
  <w:style w:customStyle="1" w:styleId="KeywordTok" w:type="character">
    <w:name w:val="KeywordTok"/>
    <w:basedOn w:val="VerbatimChar"/>
    <w:rPr>
      <w:rFonts w:ascii="Times New Roman" w:eastAsia="Times New Roman" w:hAnsi="Times New Roman"/>
      <w:b/>
      <w:color w:val="000000"/>
      <w:sz w:val="26"/>
    </w:rPr>
  </w:style>
  <w:style w:customStyle="1" w:styleId="DataTypeTok" w:type="character">
    <w:name w:val="DataTypeTok"/>
    <w:basedOn w:val="VerbatimChar"/>
    <w:rPr>
      <w:rFonts w:ascii="Times New Roman" w:eastAsia="Times New Roman" w:hAnsi="Times New Roman"/>
      <w:color w:val="000000"/>
      <w:sz w:val="26"/>
    </w:rPr>
  </w:style>
  <w:style w:customStyle="1" w:styleId="DecValTok" w:type="character">
    <w:name w:val="DecValTok"/>
    <w:basedOn w:val="VerbatimChar"/>
    <w:rPr>
      <w:rFonts w:ascii="Times New Roman" w:eastAsia="Times New Roman" w:hAnsi="Times New Roman"/>
      <w:color w:val="000000"/>
      <w:sz w:val="26"/>
    </w:rPr>
  </w:style>
  <w:style w:customStyle="1" w:styleId="BaseNTok" w:type="character">
    <w:name w:val="BaseNTok"/>
    <w:basedOn w:val="VerbatimChar"/>
    <w:rPr>
      <w:rFonts w:ascii="Times New Roman" w:eastAsia="Times New Roman" w:hAnsi="Times New Roman"/>
      <w:color w:val="000000"/>
      <w:sz w:val="26"/>
    </w:rPr>
  </w:style>
  <w:style w:customStyle="1" w:styleId="FloatTok" w:type="character">
    <w:name w:val="FloatTok"/>
    <w:basedOn w:val="VerbatimChar"/>
    <w:rPr>
      <w:rFonts w:ascii="Times New Roman" w:eastAsia="Times New Roman" w:hAnsi="Times New Roman"/>
      <w:color w:val="000000"/>
      <w:sz w:val="26"/>
    </w:rPr>
  </w:style>
  <w:style w:customStyle="1" w:styleId="ConstantTok" w:type="character">
    <w:name w:val="ConstantTok"/>
    <w:basedOn w:val="VerbatimChar"/>
    <w:rPr>
      <w:rFonts w:ascii="Times New Roman" w:eastAsia="Times New Roman" w:hAnsi="Times New Roman"/>
      <w:color w:val="000000"/>
      <w:sz w:val="26"/>
    </w:rPr>
  </w:style>
  <w:style w:customStyle="1" w:styleId="CharTok" w:type="character">
    <w:name w:val="CharTok"/>
    <w:basedOn w:val="VerbatimChar"/>
    <w:rPr>
      <w:rFonts w:ascii="Times New Roman" w:eastAsia="Times New Roman" w:hAnsi="Times New Roman"/>
      <w:color w:val="000000"/>
      <w:sz w:val="26"/>
    </w:rPr>
  </w:style>
  <w:style w:customStyle="1" w:styleId="SpecialCharTok" w:type="character">
    <w:name w:val="SpecialCharTok"/>
    <w:basedOn w:val="VerbatimChar"/>
    <w:rPr>
      <w:rFonts w:ascii="Times New Roman" w:eastAsia="Times New Roman" w:hAnsi="Times New Roman"/>
      <w:color w:val="000000"/>
      <w:sz w:val="26"/>
    </w:rPr>
  </w:style>
  <w:style w:customStyle="1" w:styleId="StringTok" w:type="character">
    <w:name w:val="StringTok"/>
    <w:basedOn w:val="VerbatimChar"/>
    <w:rPr>
      <w:rFonts w:ascii="Times New Roman" w:eastAsia="Times New Roman" w:hAnsi="Times New Roman"/>
      <w:color w:val="000000"/>
      <w:sz w:val="26"/>
    </w:rPr>
  </w:style>
  <w:style w:customStyle="1" w:styleId="VerbatimStringTok" w:type="character">
    <w:name w:val="VerbatimStringTok"/>
    <w:basedOn w:val="VerbatimChar"/>
    <w:rPr>
      <w:rFonts w:ascii="Times New Roman" w:eastAsia="Times New Roman" w:hAnsi="Times New Roman"/>
      <w:color w:val="000000"/>
      <w:sz w:val="26"/>
    </w:rPr>
  </w:style>
  <w:style w:customStyle="1" w:styleId="SpecialStringTok" w:type="character">
    <w:name w:val="SpecialStringTok"/>
    <w:basedOn w:val="VerbatimChar"/>
    <w:rPr>
      <w:rFonts w:ascii="Times New Roman" w:eastAsia="Times New Roman" w:hAnsi="Times New Roman"/>
      <w:color w:val="000000"/>
      <w:sz w:val="26"/>
    </w:rPr>
  </w:style>
  <w:style w:customStyle="1" w:styleId="ImportTok" w:type="character">
    <w:name w:val="ImportTok"/>
    <w:basedOn w:val="VerbatimChar"/>
    <w:rPr>
      <w:rFonts w:ascii="Times New Roman" w:eastAsia="Times New Roman" w:hAnsi="Times New Roman"/>
      <w:b/>
      <w:color w:val="000000"/>
      <w:sz w:val="26"/>
    </w:rPr>
  </w:style>
  <w:style w:customStyle="1" w:styleId="CommentTok" w:type="character">
    <w:name w:val="CommentTok"/>
    <w:basedOn w:val="VerbatimChar"/>
    <w:rPr>
      <w:rFonts w:ascii="Times New Roman" w:eastAsia="Times New Roman" w:hAnsi="Times New Roman"/>
      <w:i/>
      <w:color w:val="000000"/>
      <w:sz w:val="26"/>
    </w:rPr>
  </w:style>
  <w:style w:customStyle="1" w:styleId="DocumentationTok" w:type="character">
    <w:name w:val="DocumentationTok"/>
    <w:basedOn w:val="VerbatimChar"/>
    <w:rPr>
      <w:rFonts w:ascii="Times New Roman" w:eastAsia="Times New Roman" w:hAnsi="Times New Roman"/>
      <w:i/>
      <w:color w:val="000000"/>
      <w:sz w:val="26"/>
    </w:rPr>
  </w:style>
  <w:style w:customStyle="1" w:styleId="AnnotationTok" w:type="character">
    <w:name w:val="AnnotationTok"/>
    <w:basedOn w:val="VerbatimChar"/>
    <w:rPr>
      <w:rFonts w:ascii="Times New Roman" w:eastAsia="Times New Roman" w:hAnsi="Times New Roman"/>
      <w:b/>
      <w:i/>
      <w:color w:val="000000"/>
      <w:sz w:val="26"/>
    </w:rPr>
  </w:style>
  <w:style w:customStyle="1" w:styleId="CommentVarTok" w:type="character">
    <w:name w:val="CommentVarTok"/>
    <w:basedOn w:val="VerbatimChar"/>
    <w:rPr>
      <w:rFonts w:ascii="Times New Roman" w:eastAsia="Times New Roman" w:hAnsi="Times New Roman"/>
      <w:b/>
      <w:i/>
      <w:color w:val="000000"/>
      <w:sz w:val="26"/>
    </w:rPr>
  </w:style>
  <w:style w:customStyle="1" w:styleId="OtherTok" w:type="character">
    <w:name w:val="OtherTok"/>
    <w:basedOn w:val="VerbatimChar"/>
    <w:rPr>
      <w:rFonts w:ascii="Times New Roman" w:eastAsia="Times New Roman" w:hAnsi="Times New Roman"/>
      <w:color w:val="000000"/>
      <w:sz w:val="26"/>
    </w:rPr>
  </w:style>
  <w:style w:customStyle="1" w:styleId="FunctionTok" w:type="character">
    <w:name w:val="FunctionTok"/>
    <w:basedOn w:val="VerbatimChar"/>
    <w:rPr>
      <w:rFonts w:ascii="Times New Roman" w:eastAsia="Times New Roman" w:hAnsi="Times New Roman"/>
      <w:color w:val="000000"/>
      <w:sz w:val="26"/>
    </w:rPr>
  </w:style>
  <w:style w:customStyle="1" w:styleId="VariableTok" w:type="character">
    <w:name w:val="VariableTok"/>
    <w:basedOn w:val="VerbatimChar"/>
    <w:rPr>
      <w:rFonts w:ascii="Times New Roman" w:eastAsia="Times New Roman" w:hAnsi="Times New Roman"/>
      <w:color w:val="000000"/>
      <w:sz w:val="26"/>
    </w:rPr>
  </w:style>
  <w:style w:customStyle="1" w:styleId="ControlFlowTok" w:type="character">
    <w:name w:val="ControlFlowTok"/>
    <w:basedOn w:val="VerbatimChar"/>
    <w:rPr>
      <w:rFonts w:ascii="Times New Roman" w:eastAsia="Times New Roman" w:hAnsi="Times New Roman"/>
      <w:b/>
      <w:color w:val="000000"/>
      <w:sz w:val="26"/>
    </w:rPr>
  </w:style>
  <w:style w:customStyle="1" w:styleId="OperatorTok" w:type="character">
    <w:name w:val="OperatorTok"/>
    <w:basedOn w:val="VerbatimChar"/>
    <w:rPr>
      <w:rFonts w:ascii="Times New Roman" w:eastAsia="Times New Roman" w:hAnsi="Times New Roman"/>
      <w:color w:val="000000"/>
      <w:sz w:val="26"/>
    </w:rPr>
  </w:style>
  <w:style w:customStyle="1" w:styleId="BuiltInTok" w:type="character">
    <w:name w:val="BuiltInTok"/>
    <w:basedOn w:val="VerbatimChar"/>
    <w:rPr>
      <w:rFonts w:ascii="Times New Roman" w:eastAsia="Times New Roman" w:hAnsi="Times New Roman"/>
      <w:color w:val="000000"/>
      <w:sz w:val="26"/>
    </w:rPr>
  </w:style>
  <w:style w:customStyle="1" w:styleId="ExtensionTok" w:type="character">
    <w:name w:val="ExtensionTok"/>
    <w:basedOn w:val="VerbatimChar"/>
    <w:rPr>
      <w:rFonts w:ascii="Times New Roman" w:eastAsia="Times New Roman" w:hAnsi="Times New Roman"/>
      <w:color w:val="000000"/>
      <w:sz w:val="26"/>
    </w:rPr>
  </w:style>
  <w:style w:customStyle="1" w:styleId="PreprocessorTok" w:type="character">
    <w:name w:val="PreprocessorTok"/>
    <w:basedOn w:val="VerbatimChar"/>
    <w:rPr>
      <w:rFonts w:ascii="Times New Roman" w:eastAsia="Times New Roman" w:hAnsi="Times New Roman"/>
      <w:color w:val="000000"/>
      <w:sz w:val="26"/>
    </w:rPr>
  </w:style>
  <w:style w:customStyle="1" w:styleId="AttributeTok" w:type="character">
    <w:name w:val="AttributeTok"/>
    <w:basedOn w:val="VerbatimChar"/>
    <w:rPr>
      <w:rFonts w:ascii="Times New Roman" w:eastAsia="Times New Roman" w:hAnsi="Times New Roman"/>
      <w:color w:val="000000"/>
      <w:sz w:val="26"/>
    </w:rPr>
  </w:style>
  <w:style w:customStyle="1" w:styleId="RegionMarkerTok" w:type="character">
    <w:name w:val="RegionMarkerTok"/>
    <w:basedOn w:val="VerbatimChar"/>
    <w:rPr>
      <w:rFonts w:ascii="Times New Roman" w:eastAsia="Times New Roman" w:hAnsi="Times New Roman"/>
      <w:color w:val="000000"/>
      <w:sz w:val="26"/>
    </w:rPr>
  </w:style>
  <w:style w:customStyle="1" w:styleId="InformationTok" w:type="character">
    <w:name w:val="InformationTok"/>
    <w:basedOn w:val="VerbatimChar"/>
    <w:rPr>
      <w:rFonts w:ascii="Times New Roman" w:eastAsia="Times New Roman" w:hAnsi="Times New Roman"/>
      <w:b/>
      <w:i/>
      <w:color w:val="000000"/>
      <w:sz w:val="26"/>
    </w:rPr>
  </w:style>
  <w:style w:customStyle="1" w:styleId="WarningTok" w:type="character">
    <w:name w:val="WarningTok"/>
    <w:basedOn w:val="VerbatimChar"/>
    <w:rPr>
      <w:rFonts w:ascii="Times New Roman" w:eastAsia="Times New Roman" w:hAnsi="Times New Roman"/>
      <w:b/>
      <w:i/>
      <w:color w:val="000000"/>
      <w:sz w:val="26"/>
    </w:rPr>
  </w:style>
  <w:style w:customStyle="1" w:styleId="AlertTok" w:type="character">
    <w:name w:val="AlertTok"/>
    <w:basedOn w:val="VerbatimChar"/>
    <w:rPr>
      <w:rFonts w:ascii="Times New Roman" w:eastAsia="Times New Roman" w:hAnsi="Times New Roman"/>
      <w:b/>
      <w:color w:val="000000"/>
      <w:sz w:val="26"/>
    </w:rPr>
  </w:style>
  <w:style w:customStyle="1" w:styleId="ErrorTok" w:type="character">
    <w:name w:val="ErrorTok"/>
    <w:basedOn w:val="VerbatimChar"/>
    <w:rPr>
      <w:rFonts w:ascii="Times New Roman" w:eastAsia="Times New Roman" w:hAnsi="Times New Roman"/>
      <w:b/>
      <w:color w:val="000000"/>
      <w:sz w:val="26"/>
    </w:rPr>
  </w:style>
  <w:style w:customStyle="1" w:styleId="NormalTok" w:type="character">
    <w:name w:val="NormalTok"/>
    <w:basedOn w:val="VerbatimChar"/>
    <w:rPr>
      <w:rFonts w:ascii="Times New Roman" w:eastAsia="Times New Roman" w:hAnsi="Times New Roman"/>
      <w:color w:val="000000"/>
      <w:sz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2026-06-30T17:09:25Z</dcterms:created>
  <dcterms:modified xsi:type="dcterms:W3CDTF">2026-06-30T17:09:25Z</dcterms:modified>
</cp:coreProperties>
</file>

<file path=docProps/custom.xml><?xml version="1.0" encoding="utf-8"?>
<Properties xmlns="http://schemas.openxmlformats.org/officeDocument/2006/custom-properties" xmlns:vt="http://schemas.openxmlformats.org/officeDocument/2006/docPropsVTypes"/>
</file>