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1-giới-thiệu"/>
    <w:p>
      <w:pPr>
        <w:pStyle w:val="Heading1"/>
      </w:pPr>
      <w:r>
        <w:t xml:space="preserve">CHƯƠNG 1: GIỚI THIỆU</w:t>
      </w:r>
    </w:p>
    <w:bookmarkEnd w:id="20"/>
    <w:p>
      <w:r>
        <w:pict>
          <v:rect style="width:0;height:1.5pt" o:hralign="center" o:hrstd="t" o:hr="t"/>
        </w:pict>
      </w:r>
    </w:p>
    <w:bookmarkStart w:id="23"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kinh doanh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hoạt động kinh doanh của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điều kiện thuận lợi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Thể chế cũng góp phần quan trọng định hình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phổ thể chế đặc biệt phong phú để kiểm định. Luận án này tiếp cận phổ thể chế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Sau cùng, nhà quản trị cấp cao có ảnh hưởng quan trọng đến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1" w:name="X756fc8a07162cdb375f09945034083eda48ddb2"/>
    <w:p>
      <w:pPr>
        <w:pStyle w:val="Heading3"/>
      </w:pPr>
      <w:r>
        <w:t xml:space="preserve">1.1.1 Bối cảnh đương đại: thách thức việc làm, phổ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 thách thức việc làm và cơ cấu dân số.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khiến câu hỏi về cơ chế chuyển hóa quốc tế hóa thành hiệu quả hoạt động kinh doanh của doanh nghiệp trở nên cấp bách cả về phương diện phát triển lẫn học thuật.</w:t>
      </w:r>
    </w:p>
    <w:p>
      <w:pPr>
        <w:pStyle w:val="BodyText"/>
      </w:pPr>
      <w:r>
        <w:t xml:space="preserve">Thứ hai là vai trò trung tâm của chất lượng thể chế trong phân hóa kết quả tăng trưởng.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 kỷ nguyên trí tuệ nhân tạo và biến động giá hàng hóa,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dẫn đến một hàm ý chung: hiểu được khi nào và trong điều kiện nào quốc tế hóa cải thiện hiệu quả hoạt động kinh doanh của doanh nghiệp không chỉ là câu hỏi lý thuyết mà còn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1"/>
    <w:bookmarkStart w:id="22"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hoạt động kinh doanh của doanh nghiệp gắn trực tiếp với năng lực hấp thụ lực lượng lao động trẻ đang gia tăng nhanh trong khu vực.</w:t>
      </w:r>
    </w:p>
    <w:p>
      <w:pPr>
        <w:pStyle w:val="BodyText"/>
      </w:pPr>
      <w:r>
        <w:t xml:space="preserve">Phổ thể chế (institutional spectrum) là trục phân tích chính, xuyên suốt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làm cho vấn đề phức tạp thêm một mức.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22"/>
    <w:bookmarkEnd w:id="23"/>
    <w:bookmarkStart w:id="24"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kinh doanh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Mức dị biệt cao này không phản ánh sai sót phương pháp, mà cho thấy quan hệ quốc tế hóa và hiệu quả phụ thuộc nhiều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không rời rạc; chúng cùng phản ánh một hạn chế nền tảng: tài liệu hiện hành thiếu một cấu trúc giải thích đủ phân tầng để nắm bắt mức dị biệt cao của quan hệ quốc tế hóa và hiệu quả. Khoảng trống thứ nhất biểu hiện hạn chế đó ở tầng lý thuyết, bởi không một lý thuyết đơn lẻ nào, dù là mô hình Uppsala, lý thuyết dựa trên nguồn lực hay lý thuyết thể chế, cung cấp được một lý giải đầy đủ cho sự dị biệt đó;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 Khoảng trống thứ hai biểu hiện hạn chế đó ở tầng đo lường, vì khi hai cấu trúc số có chiều sâu tổ chức khác nhau bị gộp thành một chỉ số tổng hợp duy nhất, hai cơ chế tác động có thể trái chiều sẽ bị trung bình hóa, che khuất chính cơ chế mà nhà quản trị và nhà hoạch định chính sách cần phân biệt khi quyết định đầu tư vào chiều sâu năng lực hay vào công cụ giao diện. Khoảng trống thứ ba biểu hiện hạn chế đó ở tầng bằng chứng, bởi sự thiếu đại diện của các nền kinh tế chuyển đổi và các nền kinh tế đảo nhỏ đang phát triển làm suy yếu chính khả năng kiểm định điều kiện biên: đúng các địa điểm cực trị về thể chế, nơi điều kiện biên dễ bộc lộ nhất, lại là nơi tài liệu thiếu vắng bằng chứng nhất.</w:t>
      </w:r>
    </w:p>
    <w:p>
      <w:pPr>
        <w:pStyle w:val="BodyText"/>
      </w:pPr>
      <w:r>
        <w:t xml:space="preserve">Gộp lại, ba tầng hạn chế này hướng đến một câu hỏi căn bản hơn câu hỏi</w:t>
      </w:r>
      <w:r>
        <w:t xml:space="preserve"> </w:t>
      </w:r>
      <w:r>
        <w:t xml:space="preserve">“</w:t>
      </w:r>
      <w:r>
        <w:t xml:space="preserve">quốc tế hóa có cải thiện hiệu quả hay không</w:t>
      </w:r>
      <w:r>
        <w:t xml:space="preserve">”</w:t>
      </w:r>
      <w:r>
        <w:t xml:space="preserve">. Các nỗ lực tái lặp quy mô lớn với chiến lược nhận diện chặt chẽ cho thấy dạng hàm chữ U ngược suy yếu đáng kể, thậm chí biến mất, trong các mẫu gộp xuyên quốc gia (Berry &amp; Kaul, 2016; Pisani et al., 2020). Nếu cùng một mức độ quốc tế hóa tạo ra kết quả khác nhau không chỉ về độ lớn mà cả về dạng hàm và thậm chí về dấu tùy theo bối cảnh thể chế, thì bản thân dạng hàm của quan hệ quốc tế hóa và hiệu quả không phải là một hằng số phổ quát mà là một hàm của vị trí thể chế. Đây chính là luận điểm trọng tâm mà luận án đề xuất và kiểm định có điều kiện: thể chế không chỉ điều tiết độ lớn của hiệu ứng quốc tế hóa mà còn có thể định hình dấu và dạng hình của nó; ở cực trị thể chế yếu nhất, nơi các điều kiện cấu trúc tối thiểu đồng thời bị vi phạm, bằng chứng cho thấy họ mô hình chữ U ngược có xu hướng không còn áp dụng. Ba khoảng trống vì thế hội tụ thành một vấn đề nghiên cứu duy nhất: cần một cấu trúc giải thích vừa đủ phân tầng để định vị mỗi nền kinh tế trên phổ thể chế, vừa đủ sắc để dự đoán quan hệ quốc tế hóa và hiệu quả sẽ mang dạng hàm nào tại mỗi vị trí trên phổ đó.</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luận án lập luận rằng cùng nhau tạo nên cấu trúc giải thích cần thiết cho mức dị biệt cao trong quan hệ quốc tế hóa và hiệu quả.</w:t>
      </w:r>
    </w:p>
    <w:p>
      <w:r>
        <w:pict>
          <v:rect style="width:0;height:1.5pt" o:hralign="center" o:hrstd="t" o:hr="t"/>
        </w:pict>
      </w:r>
    </w:p>
    <w:bookmarkEnd w:id="24"/>
    <w:bookmarkStart w:id="25"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kinh doanh của doanh nghiệp tại các quốc gia châu Á, trong đó làm rõ vai trò điều tiết của thể chế, năng lực số và đặc điểm nhà quản trị, qua đó kiểm chứng luận điểm trọng tâm rằng thể chế quy định không chỉ độ lớn mà cả dấu và dạng hình của quan hệ đó trên toàn phổ thể chế của khu vực.</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chỉ số năng lực công nghệ, technological capability index, TCI, và chỉ số chấp nhận số, digital adoption index, DAI), và đặc điểm nhà quản trị cấp cao (kinh nghiệm và giới tính).</w:t>
      </w:r>
    </w:p>
    <w:p>
      <w:r>
        <w:pict>
          <v:rect style="width:0;height:1.5pt" o:hralign="center" o:hrstd="t" o:hr="t"/>
        </w:pict>
      </w:r>
    </w:p>
    <w:bookmarkEnd w:id="25"/>
    <w:bookmarkStart w:id="26"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kinh doanh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kinh doanh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chỉ số năng lực công nghệ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26"/>
    <w:bookmarkStart w:id="31" w:name="đối-tượng-và-phạm-vi-nghiên-cứu"/>
    <w:p>
      <w:pPr>
        <w:pStyle w:val="Heading2"/>
      </w:pPr>
      <w:r>
        <w:t xml:space="preserve">1.5 Đối tượng và phạm vi nghiên cứu</w:t>
      </w:r>
    </w:p>
    <w:bookmarkStart w:id="27"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kinh doanh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27"/>
    <w:bookmarkStart w:id="28" w:name="phạm-vi-không-gian"/>
    <w:p>
      <w:pPr>
        <w:pStyle w:val="Heading3"/>
      </w:pPr>
      <w:r>
        <w:t xml:space="preserve">1.5.2 Phạm vi không gian</w:t>
      </w:r>
    </w:p>
    <w:p>
      <w:pPr>
        <w:pStyle w:val="FirstParagraph"/>
      </w:pPr>
      <w:r>
        <w:t xml:space="preserve">Phạm vi không gian chính của nghiên cứu bao gồm 50 nền kinh tế châu Á và Thái Bình Dương 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dựa trên tài nguyên,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28"/>
    <w:bookmarkStart w:id="29"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29"/>
    <w:bookmarkStart w:id="30"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0"/>
    <w:bookmarkEnd w:id="31"/>
    <w:bookmarkStart w:id="32"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dừng ở việc dùng song song hai phương pháp, mà để chúng bổ trợ qua lại: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làm cho đóng góp của luận án vững chắc hơn nhiều so với khi chỉ dùng một phương pháp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32"/>
    <w:bookmarkStart w:id="33"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kinh doanh của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Chỉ số năng lực công nghệ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chấp nhận số nền tảng,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phổ thể chế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dạng chữ U ngược mất cấu trúc (mất cả độ cong lẫn độ dốc có ý nghĩa), với quan hệ nghiêng về một dạng âm đơn điệu như trường hợp giới hạn lý thuyết, được gọi là gánh nặng quốc tế hóa bắt buộc (Forced Internationalization Penalty, FIP). Bên cạnh H1b (điều kiện biên không gian theo cấu trúc SIDS), luận án phát biểu thêm giả thuyết điều kiện biên thời gian H1c: tại nền kinh tế trải qua biến động thể chế tích lũy cực đoan qua các giai đoạn (điển hình là Ấn Độ trong nghiên cứu thành phần P9), cấu trúc chữ U ngược tan biến theo thời gian (điểm uốn dịch chuyển rồi mất ý nghĩa trong miền dữ liệu), phản ánh sự phá vỡ cấu trúc chứ không phải dịch chuyển tiệm tiến như H6 mô tả. Chi tiết toàn bộ hệ giả thuyết H1–H6, H1b và H1c được trình bày đầy đủ trong Chương 2 của luận án.</w:t>
      </w:r>
    </w:p>
    <w:p>
      <w:r>
        <w:pict>
          <v:rect style="width:0;height:1.5pt" o:hralign="center" o:hrstd="t" o:hr="t"/>
        </w:pict>
      </w:r>
    </w:p>
    <w:bookmarkEnd w:id="33"/>
    <w:bookmarkStart w:id="37" w:name="ý-nghĩa-khoa-học-và-thực-tiễn"/>
    <w:p>
      <w:pPr>
        <w:pStyle w:val="Heading2"/>
      </w:pPr>
      <w:r>
        <w:t xml:space="preserve">1.8 Ý nghĩa khoa học và thực tiễn</w:t>
      </w:r>
    </w:p>
    <w:bookmarkStart w:id="34" w:name="đóng-góp-lý-thuyết"/>
    <w:p>
      <w:pPr>
        <w:pStyle w:val="Heading3"/>
      </w:pPr>
      <w:r>
        <w:t xml:space="preserve">1.8.1 Đóng góp lý thuyết</w:t>
      </w:r>
    </w:p>
    <w:p>
      <w:pPr>
        <w:pStyle w:val="FirstParagraph"/>
      </w:pPr>
      <w:r>
        <w:t xml:space="preserve">Về mặt lý thuyết, đóng góp trọng tâm của luận án là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mệnh đề kiểm định được: thể chế không chỉ điều tiết độ lớn mà còn có thể định hình dấu và dạng hình của quan hệ quốc tế hóa và hiệu quả; ở cực trị thể chế yếu nhất, bằng chứng cho thấy dạng hàm chữ U ngược có xu hướng không còn áp dụng. Luận điểm trọng tâm này được nâng đỡ bởi bốn đóng góp lý thuyết thành phần. Đóng góp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phải phép ghép cơ học các lý thuyết mà là một kiến trúc lý thuyết nhất quán, trong đó mỗi tầng giải thích một loại dị biệt riêng trong quan hệ quốc tế hóa và hiệu quả. Đóng góp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Đóng góp thứ ba là tái định vị mô hình Uppsala trong bối cảnh kỷ nguyên AI bằng cách mở rộng cơ chế học hỏi để bao gồm</w:t>
      </w:r>
      <w:r>
        <w:t xml:space="preserve"> </w:t>
      </w:r>
      <w:r>
        <w:t xml:space="preserve">“</w:t>
      </w:r>
      <w:r>
        <w:t xml:space="preserve">học hỏi tăng cường bằng dữ liệu</w:t>
      </w:r>
      <w:r>
        <w:t xml:space="preserve">”</w:t>
      </w:r>
      <w:r>
        <w:t xml:space="preserve">, phù hợp với xu hướng quốc tế hóa được số hóa hỗ trợ (Banalieva &amp; Dhanaraj, 2019; Yang et al., 2025). Đóng góp thứ tư là đề xuất và đặt tên lý thuyết cho gánh nặng quốc tế hóa bắt buộc (Forced Internationalization Penalty, FIP),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đóng góp lý thuyết thành phần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không loại trừ nhau. Tầng vĩ mô được vận hành hóa bằng khung biến thiên chế độ bối cảnh thể chế (Institutional Context Regime Variation, ICRV), công cụ phân loại sáu nhóm cho phép chuyển một phổ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Điểm cao nhất của kiến trúc lý thuyết là việc đặt tên cho gánh nặng quốc tế hóa bắt buộc (Forced Internationalization Penalty, FIP),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34"/>
    <w:bookmarkStart w:id="35"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hiệu ứng điều tiết của thể chế trong tài liệu kinh doanh quốc tế.</w:t>
      </w:r>
    </w:p>
    <w:bookmarkEnd w:id="35"/>
    <w:bookmarkStart w:id="36"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phổ thể chế,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phổ thể chế.</w:t>
      </w:r>
    </w:p>
    <w:bookmarkEnd w:id="36"/>
    <w:bookmarkEnd w:id="37"/>
    <w:bookmarkStart w:id="38"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trường hợp ranh giới cực đoan, theo hiểu biết của tác giả, chưa có nghiên cứu thực nghiệm nào về quan hệ quốc tế hóa và hiệu quả tại châu Á áp dụng một hệ thống phân loại thể chế đủ mịn như vậy. Điểm mới thứ tư là mẫu gộp dữ liệu thuộc loại lớn nhất mà tác giả ghi nhận được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ổn định theo thời gian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 gánh nặng quốc tế hóa bắt buộc (Forced Internationalization Penalty, FIP) cho bối cảnh các nền kinh tế đảo nhỏ Thái Bình Dương, một cấu trúc mà theo hiểu biết của tác giả chưa được định danh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phổ thể chế của một khu vực, đồng thời xác định và định danh điểm mà tại đó dạng hàm chữ U ngược không còn ứng dụng được. Các nghiên cứu trước thường chỉ chứng minh thể chế điều tiết độ lớn của hiệu ứng; luận án chứng minh thể chế có thể điều tiết cả dấu của hiệu ứng, đưa luận điểm từ</w:t>
      </w:r>
      <w:r>
        <w:t xml:space="preserve"> </w:t>
      </w:r>
      <w:r>
        <w:t xml:space="preserve">“</w:t>
      </w:r>
      <w:r>
        <w:t xml:space="preserve">phụ thuộc bối cảnh</w:t>
      </w:r>
      <w:r>
        <w:t xml:space="preserve">”</w:t>
      </w:r>
      <w:r>
        <w:t xml:space="preserve"> </w:t>
      </w:r>
      <w:r>
        <w:t xml:space="preserve">thành</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cấu trúc đo lường thuần nhất và phạm vi thể chế rộng, thay vì dựa trên một mẫu hẹp hoặc một chỉ số gộp.</w:t>
      </w:r>
    </w:p>
    <w:bookmarkEnd w:id="38"/>
    <w:bookmarkStart w:id="39"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đang được hoàn thiện để gửi các tạp chí ISI/Scopus mục tiêu.</w:t>
      </w:r>
      <w:r>
        <w:t xml:space="preserve"> </w:t>
      </w:r>
      <w:r>
        <w:rPr>
          <w:bCs/>
          <w:b/>
        </w:rPr>
        <w:t xml:space="preserve">P3</w:t>
      </w:r>
      <w:r>
        <w:t xml:space="preserve"> </w:t>
      </w:r>
      <w:r>
        <w:t xml:space="preserve">(Việt Nam, mục tiêu JED): kiểm định chữ U ngược tại Nhóm IV ICRV, điểm uốn = 39,3–46,2% FSTS, TCI là yếu tố nâng mặt bằng có ý nghĩa.</w:t>
      </w:r>
      <w:r>
        <w:t xml:space="preserve"> </w:t>
      </w:r>
      <w:r>
        <w:rPr>
          <w:bCs/>
          <w:b/>
        </w:rPr>
        <w:t xml:space="preserve">P4</w:t>
      </w:r>
      <w:r>
        <w:t xml:space="preserve"> </w:t>
      </w:r>
      <w:r>
        <w:t xml:space="preserve">(Singapore, mục tiêu MIR): kiểm định tại Nhóm I ICRV, điểm uốn ≈ 88,6% (khoảng tin cậy rất rộng và vượt ngưỡng khả thi của FSTS, nên không định vị tin cậy, xem Mục 4.3), DAI Bậc 1 và 2 khuếch đại đường cong quốc tế hóa và hiệu quả.</w:t>
      </w:r>
      <w:r>
        <w:t xml:space="preserve"> </w:t>
      </w:r>
      <w:r>
        <w:rPr>
          <w:bCs/>
          <w:b/>
        </w:rPr>
        <w:t xml:space="preserve">P5</w:t>
      </w:r>
      <w:r>
        <w:t xml:space="preserve"> </w:t>
      </w:r>
      <w:r>
        <w:t xml:space="preserve">(Trung Quốc, mục tiêu IJOEM): kiểm định ổn định theo thời gian, điểm uốn ổn định qua 2012–2024 (≈ 48,78%, Paternoster z = 0,82, p = ,412).</w:t>
      </w:r>
      <w:r>
        <w:t xml:space="preserve"> </w:t>
      </w:r>
      <w:r>
        <w:rPr>
          <w:bCs/>
          <w:b/>
        </w:rPr>
        <w:t xml:space="preserve">P6</w:t>
      </w:r>
      <w:r>
        <w:t xml:space="preserve"> </w:t>
      </w:r>
      <w:r>
        <w:t xml:space="preserve">(meta-analysis ba tầng, mục tiêu JWB): k = 238 nghiên cứu, r̄ = 0,074, I² = 62,4%, phổ thể chế ICRV Q_M = 17,35 (df = 4, p = ,002).</w:t>
      </w:r>
      <w:r>
        <w:t xml:space="preserve"> </w:t>
      </w:r>
      <w:r>
        <w:rPr>
          <w:bCs/>
          <w:b/>
        </w:rPr>
        <w:t xml:space="preserve">P7</w:t>
      </w:r>
      <w:r>
        <w:t xml:space="preserve"> </w:t>
      </w:r>
      <w:r>
        <w:t xml:space="preserve">(50 nền kinh tế, mục tiêu IBR):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mục tiêu World Development):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mục tiêu MIR/IJOEM): độ bền ngưỡng quốc tế hóa và hiệu quả qua ba đợt WBES 2014–2025 (~29.000 doanh nghiệp), phát hiện tan biến 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Bậc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phổ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tăng trưởng doanh thu trong các kiểm định độ vững; TCI là chỉ số năng lực công nghệ; DAI là chỉ số chấp nhận số (digital adoption index), được hiểu như biến đại diện chấp nhận số nền tảng; ICRV là khung phân loại thể chế 6 nhóm được phát triển cho luận án này; WBES là World Bank Enterprise Surveys.</w:t>
      </w:r>
    </w:p>
    <w:bookmarkEnd w:id="3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2026-06-30T17:09:02Z</dcterms:created>
  <dcterms:modified xsi:type="dcterms:W3CDTF">2026-06-30T17:09:02Z</dcterms:modified>
</cp:coreProperties>
</file>

<file path=docProps/custom.xml><?xml version="1.0" encoding="utf-8"?>
<Properties xmlns="http://schemas.openxmlformats.org/officeDocument/2006/custom-properties" xmlns:vt="http://schemas.openxmlformats.org/officeDocument/2006/docPropsVTypes"/>
</file>