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Bảng</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Tổng hợp hệ giả thuyết: phát biểu, dấu kỳ vọng, cơ sở lý thuyết và biến kiểm định</w:t>
            </w:r>
          </w:p>
        </w:tc>
        <w:tc>
          <w:tcPr/>
          <w:p>
            <w:pPr>
              <w:pStyle w:val="Compact"/>
              <w:jc w:val="right"/>
            </w:pPr>
            <w:r>
              <w:t xml:space="preserve">30</w:t>
            </w:r>
          </w:p>
        </w:tc>
      </w:tr>
      <w:tr>
        <w:tc>
          <w:tcPr/>
          <w:p>
            <w:pPr>
              <w:pStyle w:val="Compact"/>
              <w:jc w:val="left"/>
            </w:pPr>
            <w:r>
              <w:t xml:space="preserve">2.2</w:t>
            </w:r>
          </w:p>
        </w:tc>
        <w:tc>
          <w:tcPr/>
          <w:p>
            <w:pPr>
              <w:pStyle w:val="Compact"/>
              <w:jc w:val="left"/>
            </w:pPr>
            <w:r>
              <w:t xml:space="preserve">Ánh xạ nghiên cứu thành phần, mục trình bày, giả thuyết</w:t>
            </w:r>
          </w:p>
        </w:tc>
        <w:tc>
          <w:tcPr/>
          <w:p>
            <w:pPr>
              <w:pStyle w:val="Compact"/>
              <w:jc w:val="right"/>
            </w:pPr>
            <w:r>
              <w:t xml:space="preserve">31</w:t>
            </w:r>
          </w:p>
        </w:tc>
      </w:tr>
      <w:tr>
        <w:tc>
          <w:tcPr/>
          <w:p>
            <w:pPr>
              <w:pStyle w:val="Compact"/>
              <w:jc w:val="left"/>
            </w:pPr>
            <w:r>
              <w:t xml:space="preserve">3.1</w:t>
            </w:r>
          </w:p>
        </w:tc>
        <w:tc>
          <w:tcPr/>
          <w:p>
            <w:pPr>
              <w:pStyle w:val="Compact"/>
              <w:jc w:val="left"/>
            </w:pPr>
            <w:r>
              <w:t xml:space="preserve">Tổng hợp biến nghiên cứu của khung thực nghiệm đa quốc gia</w:t>
            </w:r>
          </w:p>
        </w:tc>
        <w:tc>
          <w:tcPr/>
          <w:p>
            <w:pPr>
              <w:pStyle w:val="Compact"/>
              <w:jc w:val="right"/>
            </w:pPr>
            <w:r>
              <w:t xml:space="preserve">41</w:t>
            </w:r>
          </w:p>
        </w:tc>
      </w:tr>
      <w:tr>
        <w:tc>
          <w:tcPr/>
          <w:p>
            <w:pPr>
              <w:pStyle w:val="Compact"/>
              <w:jc w:val="left"/>
            </w:pPr>
            <w:r>
              <w:t xml:space="preserve">4.1</w:t>
            </w:r>
          </w:p>
        </w:tc>
        <w:tc>
          <w:tcPr/>
          <w:p>
            <w:pPr>
              <w:pStyle w:val="Compact"/>
              <w:jc w:val="left"/>
            </w:pPr>
            <w:r>
              <w:t xml:space="preserve">Phân tán năng suất lao động và đặc điểm quốc tế hóa theo phân nhóm con ICRV</w:t>
            </w:r>
          </w:p>
        </w:tc>
        <w:tc>
          <w:tcPr/>
          <w:p>
            <w:pPr>
              <w:pStyle w:val="Compact"/>
              <w:jc w:val="right"/>
            </w:pPr>
            <w:r>
              <w:t xml:space="preserve">64</w:t>
            </w:r>
          </w:p>
        </w:tc>
      </w:tr>
      <w:tr>
        <w:tc>
          <w:tcPr/>
          <w:p>
            <w:pPr>
              <w:pStyle w:val="Compact"/>
              <w:jc w:val="left"/>
            </w:pPr>
            <w:r>
              <w:t xml:space="preserve">4.2</w:t>
            </w:r>
          </w:p>
        </w:tc>
        <w:tc>
          <w:tcPr/>
          <w:p>
            <w:pPr>
              <w:pStyle w:val="Compact"/>
              <w:jc w:val="left"/>
            </w:pPr>
            <w:r>
              <w:t xml:space="preserve">Đổi mới sáng tạo và chấp nhận số theo phân nhóm con ICRV (%)</w:t>
            </w:r>
          </w:p>
        </w:tc>
        <w:tc>
          <w:tcPr/>
          <w:p>
            <w:pPr>
              <w:pStyle w:val="Compact"/>
              <w:jc w:val="right"/>
            </w:pPr>
            <w:r>
              <w:t xml:space="preserve">67</w:t>
            </w:r>
          </w:p>
        </w:tc>
      </w:tr>
      <w:tr>
        <w:tc>
          <w:tcPr/>
          <w:p>
            <w:pPr>
              <w:pStyle w:val="Compact"/>
              <w:jc w:val="left"/>
            </w:pPr>
            <w:r>
              <w:t xml:space="preserve">4.3</w:t>
            </w:r>
          </w:p>
        </w:tc>
        <w:tc>
          <w:tcPr/>
          <w:p>
            <w:pPr>
              <w:pStyle w:val="Compact"/>
              <w:jc w:val="left"/>
            </w:pPr>
            <w:r>
              <w:t xml:space="preserve">Đặc trưng doanh nghiệp Nhật Bản 2025 so với năm nền còn lại của Nhóm I</w:t>
            </w:r>
          </w:p>
        </w:tc>
        <w:tc>
          <w:tcPr/>
          <w:p>
            <w:pPr>
              <w:pStyle w:val="Compact"/>
              <w:jc w:val="right"/>
            </w:pPr>
            <w:r>
              <w:t xml:space="preserve">68</w:t>
            </w:r>
          </w:p>
        </w:tc>
      </w:tr>
      <w:tr>
        <w:tc>
          <w:tcPr/>
          <w:p>
            <w:pPr>
              <w:pStyle w:val="Compact"/>
              <w:jc w:val="left"/>
            </w:pPr>
            <w:r>
              <w:t xml:space="preserve">4.4</w:t>
            </w:r>
          </w:p>
        </w:tc>
        <w:tc>
          <w:tcPr/>
          <w:p>
            <w:pPr>
              <w:pStyle w:val="Compact"/>
              <w:jc w:val="left"/>
            </w:pPr>
            <w:r>
              <w:t xml:space="preserve">Trung vị tỷ suất lợi nhuận trên doanh thu (ROS) theo nhóm ICRV</w:t>
            </w:r>
          </w:p>
        </w:tc>
        <w:tc>
          <w:tcPr/>
          <w:p>
            <w:pPr>
              <w:pStyle w:val="Compact"/>
              <w:jc w:val="right"/>
            </w:pPr>
            <w:r>
              <w:t xml:space="preserve">71</w:t>
            </w:r>
          </w:p>
        </w:tc>
      </w:tr>
      <w:tr>
        <w:tc>
          <w:tcPr/>
          <w:p>
            <w:pPr>
              <w:pStyle w:val="Compact"/>
              <w:jc w:val="left"/>
            </w:pPr>
            <w:r>
              <w:t xml:space="preserve">4.5</w:t>
            </w:r>
          </w:p>
        </w:tc>
        <w:tc>
          <w:tcPr/>
          <w:p>
            <w:pPr>
              <w:pStyle w:val="Compact"/>
              <w:jc w:val="left"/>
            </w:pPr>
            <w:r>
              <w:t xml:space="preserve">Tiến triển hệ số theo chuỗi mô hình phân tầng, Singapore 2023</w:t>
            </w:r>
          </w:p>
        </w:tc>
        <w:tc>
          <w:tcPr/>
          <w:p>
            <w:pPr>
              <w:pStyle w:val="Compact"/>
              <w:jc w:val="right"/>
            </w:pPr>
            <w:r>
              <w:t xml:space="preserve">77</w:t>
            </w:r>
          </w:p>
        </w:tc>
      </w:tr>
      <w:tr>
        <w:tc>
          <w:tcPr/>
          <w:p>
            <w:pPr>
              <w:pStyle w:val="Compact"/>
              <w:jc w:val="left"/>
            </w:pPr>
            <w:r>
              <w:t xml:space="preserve">4.6</w:t>
            </w:r>
          </w:p>
        </w:tc>
        <w:tc>
          <w:tcPr/>
          <w:p>
            <w:pPr>
              <w:pStyle w:val="Compact"/>
              <w:jc w:val="left"/>
            </w:pPr>
            <w:r>
              <w:t xml:space="preserve">Tiến triển mô hình của P7 trên khung 50 nền: điểm uốn và kiểm định Lind–Mehlum</w:t>
            </w:r>
          </w:p>
        </w:tc>
        <w:tc>
          <w:tcPr/>
          <w:p>
            <w:pPr>
              <w:pStyle w:val="Compact"/>
              <w:jc w:val="right"/>
            </w:pPr>
            <w:r>
              <w:t xml:space="preserve">84</w:t>
            </w:r>
          </w:p>
        </w:tc>
      </w:tr>
      <w:tr>
        <w:tc>
          <w:tcPr/>
          <w:p>
            <w:pPr>
              <w:pStyle w:val="Compact"/>
              <w:jc w:val="left"/>
            </w:pPr>
            <w:r>
              <w:t xml:space="preserve">4.7</w:t>
            </w:r>
          </w:p>
        </w:tc>
        <w:tc>
          <w:tcPr/>
          <w:p>
            <w:pPr>
              <w:pStyle w:val="Compact"/>
              <w:jc w:val="left"/>
            </w:pPr>
            <w:r>
              <w:t xml:space="preserve">Điểm uốn theo nhóm ICRV, khung 50 nền</w:t>
            </w:r>
          </w:p>
        </w:tc>
        <w:tc>
          <w:tcPr/>
          <w:p>
            <w:pPr>
              <w:pStyle w:val="Compact"/>
              <w:jc w:val="right"/>
            </w:pPr>
            <w:r>
              <w:t xml:space="preserve">84</w:t>
            </w:r>
          </w:p>
        </w:tc>
      </w:tr>
      <w:tr>
        <w:tc>
          <w:tcPr/>
          <w:p>
            <w:pPr>
              <w:pStyle w:val="Compact"/>
              <w:jc w:val="left"/>
            </w:pPr>
            <w:r>
              <w:t xml:space="preserve">4.8</w:t>
            </w:r>
          </w:p>
        </w:tc>
        <w:tc>
          <w:tcPr/>
          <w:p>
            <w:pPr>
              <w:pStyle w:val="Compact"/>
              <w:jc w:val="left"/>
            </w:pPr>
            <w:r>
              <w:t xml:space="preserve">Điểm uốn theo đợt khảo sát, Ấn Độ</w:t>
            </w:r>
          </w:p>
        </w:tc>
        <w:tc>
          <w:tcPr/>
          <w:p>
            <w:pPr>
              <w:pStyle w:val="Compact"/>
              <w:jc w:val="right"/>
            </w:pPr>
            <w:r>
              <w:t xml:space="preserve">92</w:t>
            </w:r>
          </w:p>
        </w:tc>
      </w:tr>
      <w:tr>
        <w:tc>
          <w:tcPr/>
          <w:p>
            <w:pPr>
              <w:pStyle w:val="Compact"/>
              <w:jc w:val="left"/>
            </w:pPr>
            <w:r>
              <w:t xml:space="preserve">4.9</w:t>
            </w:r>
          </w:p>
        </w:tc>
        <w:tc>
          <w:tcPr/>
          <w:p>
            <w:pPr>
              <w:pStyle w:val="Compact"/>
              <w:jc w:val="left"/>
            </w:pPr>
            <w:r>
              <w:t xml:space="preserve">Hiệu ứng cường độ xuất khẩu lên năng suất qua chuỗi mô hình, Nhật Bản 2025</w:t>
            </w:r>
          </w:p>
        </w:tc>
        <w:tc>
          <w:tcPr/>
          <w:p>
            <w:pPr>
              <w:pStyle w:val="Compact"/>
              <w:jc w:val="right"/>
            </w:pPr>
            <w:r>
              <w:t xml:space="preserve">96</w:t>
            </w:r>
          </w:p>
        </w:tc>
      </w:tr>
      <w:tr>
        <w:tc>
          <w:tcPr/>
          <w:p>
            <w:pPr>
              <w:pStyle w:val="Compact"/>
              <w:jc w:val="left"/>
            </w:pPr>
            <w:r>
              <w:t xml:space="preserve">4.10</w:t>
            </w:r>
          </w:p>
        </w:tc>
        <w:tc>
          <w:tcPr/>
          <w:p>
            <w:pPr>
              <w:pStyle w:val="Compact"/>
              <w:jc w:val="left"/>
            </w:pPr>
            <w:r>
              <w:t xml:space="preserve">Tổng hợp ước lượng các nghiên cứu thành phần thực nghiệm</w:t>
            </w:r>
          </w:p>
        </w:tc>
        <w:tc>
          <w:tcPr/>
          <w:p>
            <w:pPr>
              <w:pStyle w:val="Compact"/>
              <w:jc w:val="right"/>
            </w:pPr>
            <w:r>
              <w:t xml:space="preserve">98</w:t>
            </w:r>
          </w:p>
        </w:tc>
      </w:tr>
      <w:tr>
        <w:tc>
          <w:tcPr/>
          <w:p>
            <w:pPr>
              <w:pStyle w:val="Compact"/>
              <w:jc w:val="left"/>
            </w:pPr>
            <w:r>
              <w:t xml:space="preserve">5.1</w:t>
            </w:r>
          </w:p>
        </w:tc>
        <w:tc>
          <w:tcPr/>
          <w:p>
            <w:pPr>
              <w:pStyle w:val="Compact"/>
              <w:jc w:val="left"/>
            </w:pPr>
            <w:r>
              <w:t xml:space="preserve">Sợi chỉ vàng tích hợp: câu hỏi nghiên cứu, nghiên cứu thành phần, giả thuyết, phát hiện thực nghiệm chủ chốt, đóng góp lý thuyết</w:t>
            </w:r>
          </w:p>
        </w:tc>
        <w:tc>
          <w:tcPr/>
          <w:p>
            <w:pPr>
              <w:pStyle w:val="Compact"/>
              <w:jc w:val="right"/>
            </w:pPr>
            <w:r>
              <w:t xml:space="preserve">106</w:t>
            </w:r>
          </w:p>
        </w:tc>
      </w:tr>
      <w:tr>
        <w:tc>
          <w:tcPr/>
          <w:p>
            <w:pPr>
              <w:pStyle w:val="Compact"/>
              <w:jc w:val="left"/>
            </w:pPr>
            <w:r>
              <w:t xml:space="preserve">C.1</w:t>
            </w:r>
          </w:p>
        </w:tc>
        <w:tc>
          <w:tcPr/>
          <w:p>
            <w:pPr>
              <w:pStyle w:val="Compact"/>
              <w:jc w:val="left"/>
            </w:pPr>
            <w:r>
              <w:t xml:space="preserve">Kết quả hồi quy chính và điểm uốn của tám nghiên cứu thành phần</w:t>
            </w:r>
          </w:p>
        </w:tc>
        <w:tc>
          <w:tcPr/>
          <w:p>
            <w:pPr>
              <w:pStyle w:val="Compact"/>
              <w:jc w:val="right"/>
            </w:pPr>
            <w:r>
              <w:t xml:space="preserve">149</w:t>
            </w:r>
          </w:p>
        </w:tc>
      </w:tr>
      <w:tr>
        <w:tc>
          <w:tcPr/>
          <w:p>
            <w:pPr>
              <w:pStyle w:val="Compact"/>
              <w:jc w:val="left"/>
            </w:pPr>
            <w:r>
              <w:t xml:space="preserve">C.2</w:t>
            </w:r>
          </w:p>
        </w:tc>
        <w:tc>
          <w:tcPr/>
          <w:p>
            <w:pPr>
              <w:pStyle w:val="Compact"/>
              <w:jc w:val="left"/>
            </w:pPr>
            <w:r>
              <w:t xml:space="preserve">Chi tiết phân tích tổng hợp ba tầng P6</w:t>
            </w:r>
          </w:p>
        </w:tc>
        <w:tc>
          <w:tcPr/>
          <w:p>
            <w:pPr>
              <w:pStyle w:val="Compact"/>
              <w:jc w:val="right"/>
            </w:pPr>
            <w:r>
              <w:t xml:space="preserve">150</w:t>
            </w:r>
          </w:p>
        </w:tc>
      </w:tr>
      <w:tr>
        <w:tc>
          <w:tcPr/>
          <w:p>
            <w:pPr>
              <w:pStyle w:val="Compact"/>
              <w:jc w:val="left"/>
            </w:pPr>
            <w:r>
              <w:t xml:space="preserve">C.3</w:t>
            </w:r>
          </w:p>
        </w:tc>
        <w:tc>
          <w:tcPr/>
          <w:p>
            <w:pPr>
              <w:pStyle w:val="Compact"/>
              <w:jc w:val="left"/>
            </w:pPr>
            <w:r>
              <w:t xml:space="preserve">Điểm uốn theo sáu nhóm ICRV trong kiểm định toàn mẫu P7</w:t>
            </w:r>
          </w:p>
        </w:tc>
        <w:tc>
          <w:tcPr/>
          <w:p>
            <w:pPr>
              <w:pStyle w:val="Compact"/>
              <w:jc w:val="right"/>
            </w:pPr>
            <w:r>
              <w:t xml:space="preserve">150</w:t>
            </w:r>
          </w:p>
        </w:tc>
      </w:tr>
      <w:tr>
        <w:tc>
          <w:tcPr/>
          <w:p>
            <w:pPr>
              <w:pStyle w:val="Compact"/>
              <w:jc w:val="left"/>
            </w:pPr>
            <w:r>
              <w:t xml:space="preserve">C.4</w:t>
            </w:r>
          </w:p>
        </w:tc>
        <w:tc>
          <w:tcPr/>
          <w:p>
            <w:pPr>
              <w:pStyle w:val="Compact"/>
              <w:jc w:val="left"/>
            </w:pPr>
            <w:r>
              <w:t xml:space="preserve">Tóm tắt kiểm định độ vững theo từng nghiên cứu thành phần</w:t>
            </w:r>
          </w:p>
        </w:tc>
        <w:tc>
          <w:tcPr/>
          <w:p>
            <w:pPr>
              <w:pStyle w:val="Compact"/>
              <w:jc w:val="right"/>
            </w:pPr>
            <w:r>
              <w:t xml:space="preserve">151</w:t>
            </w:r>
          </w:p>
        </w:tc>
      </w:tr>
    </w:tbl>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Hình</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Khung khái niệm tích hợp đa tầng CDCM</w:t>
            </w:r>
          </w:p>
        </w:tc>
        <w:tc>
          <w:tcPr/>
          <w:p>
            <w:pPr>
              <w:pStyle w:val="Compact"/>
              <w:jc w:val="right"/>
            </w:pPr>
            <w:r>
              <w:t xml:space="preserve">26</w:t>
            </w:r>
          </w:p>
        </w:tc>
      </w:tr>
      <w:tr>
        <w:tc>
          <w:tcPr/>
          <w:p>
            <w:pPr>
              <w:pStyle w:val="Compact"/>
              <w:jc w:val="left"/>
            </w:pPr>
            <w:r>
              <w:t xml:space="preserve">3.1</w:t>
            </w:r>
          </w:p>
        </w:tc>
        <w:tc>
          <w:tcPr/>
          <w:p>
            <w:pPr>
              <w:pStyle w:val="Compact"/>
              <w:jc w:val="left"/>
            </w:pPr>
            <w:r>
              <w:t xml:space="preserve">Quy trình nghiên cứu của luận án</w:t>
            </w:r>
          </w:p>
        </w:tc>
        <w:tc>
          <w:tcPr/>
          <w:p>
            <w:pPr>
              <w:pStyle w:val="Compact"/>
              <w:jc w:val="right"/>
            </w:pPr>
            <w:r>
              <w:t xml:space="preserve">34</w:t>
            </w:r>
          </w:p>
        </w:tc>
      </w:tr>
      <w:tr>
        <w:tc>
          <w:tcPr/>
          <w:p>
            <w:pPr>
              <w:pStyle w:val="Compact"/>
              <w:jc w:val="left"/>
            </w:pPr>
            <w:r>
              <w:t xml:space="preserve">4.1</w:t>
            </w:r>
          </w:p>
        </w:tc>
        <w:tc>
          <w:tcPr/>
          <w:p>
            <w:pPr>
              <w:pStyle w:val="Compact"/>
              <w:jc w:val="left"/>
            </w:pPr>
            <w:r>
              <w:t xml:space="preserve">Thành phần mẫu gộp theo nhóm ICRV</w:t>
            </w:r>
          </w:p>
        </w:tc>
        <w:tc>
          <w:tcPr/>
          <w:p>
            <w:pPr>
              <w:pStyle w:val="Compact"/>
              <w:jc w:val="right"/>
            </w:pPr>
            <w:r>
              <w:t xml:space="preserve">65</w:t>
            </w:r>
          </w:p>
        </w:tc>
      </w:tr>
      <w:tr>
        <w:tc>
          <w:tcPr/>
          <w:p>
            <w:pPr>
              <w:pStyle w:val="Compact"/>
              <w:jc w:val="left"/>
            </w:pPr>
            <w:r>
              <w:t xml:space="preserve">4.2</w:t>
            </w:r>
          </w:p>
        </w:tc>
        <w:tc>
          <w:tcPr/>
          <w:p>
            <w:pPr>
              <w:pStyle w:val="Compact"/>
              <w:jc w:val="left"/>
            </w:pPr>
            <w:r>
              <w:t xml:space="preserve">Quy mô mẫu gộp theo năm khảo sát</w:t>
            </w:r>
          </w:p>
        </w:tc>
        <w:tc>
          <w:tcPr/>
          <w:p>
            <w:pPr>
              <w:pStyle w:val="Compact"/>
              <w:jc w:val="right"/>
            </w:pPr>
            <w:r>
              <w:t xml:space="preserve">66</w:t>
            </w:r>
          </w:p>
        </w:tc>
      </w:tr>
      <w:tr>
        <w:tc>
          <w:tcPr/>
          <w:p>
            <w:pPr>
              <w:pStyle w:val="Compact"/>
              <w:jc w:val="left"/>
            </w:pPr>
            <w:r>
              <w:t xml:space="preserve">4.3</w:t>
            </w:r>
          </w:p>
        </w:tc>
        <w:tc>
          <w:tcPr/>
          <w:p>
            <w:pPr>
              <w:pStyle w:val="Compact"/>
              <w:jc w:val="left"/>
            </w:pPr>
            <w:r>
              <w:t xml:space="preserve">Quỹ đạo tăng trưởng theo nhóm ICRV</w:t>
            </w:r>
          </w:p>
        </w:tc>
        <w:tc>
          <w:tcPr/>
          <w:p>
            <w:pPr>
              <w:pStyle w:val="Compact"/>
              <w:jc w:val="right"/>
            </w:pPr>
            <w:r>
              <w:t xml:space="preserve">66</w:t>
            </w:r>
          </w:p>
        </w:tc>
      </w:tr>
      <w:tr>
        <w:tc>
          <w:tcPr/>
          <w:p>
            <w:pPr>
              <w:pStyle w:val="Compact"/>
              <w:jc w:val="left"/>
            </w:pPr>
            <w:r>
              <w:t xml:space="preserve">4.4</w:t>
            </w:r>
          </w:p>
        </w:tc>
        <w:tc>
          <w:tcPr/>
          <w:p>
            <w:pPr>
              <w:pStyle w:val="Compact"/>
              <w:jc w:val="left"/>
            </w:pPr>
            <w:r>
              <w:t xml:space="preserve">Phân bố quy mô doanh nghiệp theo nhóm ICRV</w:t>
            </w:r>
          </w:p>
        </w:tc>
        <w:tc>
          <w:tcPr/>
          <w:p>
            <w:pPr>
              <w:pStyle w:val="Compact"/>
              <w:jc w:val="right"/>
            </w:pPr>
            <w:r>
              <w:t xml:space="preserve">68</w:t>
            </w:r>
          </w:p>
        </w:tc>
      </w:tr>
      <w:tr>
        <w:tc>
          <w:tcPr/>
          <w:p>
            <w:pPr>
              <w:pStyle w:val="Compact"/>
              <w:jc w:val="left"/>
            </w:pPr>
            <w:r>
              <w:t xml:space="preserve">4.5</w:t>
            </w:r>
          </w:p>
        </w:tc>
        <w:tc>
          <w:tcPr/>
          <w:p>
            <w:pPr>
              <w:pStyle w:val="Compact"/>
              <w:jc w:val="left"/>
            </w:pPr>
            <w:r>
              <w:t xml:space="preserve">Phổ năng lực công nghệ theo sáu nhóm ICRV</w:t>
            </w:r>
          </w:p>
        </w:tc>
        <w:tc>
          <w:tcPr/>
          <w:p>
            <w:pPr>
              <w:pStyle w:val="Compact"/>
              <w:jc w:val="right"/>
            </w:pPr>
            <w:r>
              <w:t xml:space="preserve">69</w:t>
            </w:r>
          </w:p>
        </w:tc>
      </w:tr>
      <w:tr>
        <w:tc>
          <w:tcPr/>
          <w:p>
            <w:pPr>
              <w:pStyle w:val="Compact"/>
              <w:jc w:val="left"/>
            </w:pPr>
            <w:r>
              <w:t xml:space="preserve">4.6</w:t>
            </w:r>
          </w:p>
        </w:tc>
        <w:tc>
          <w:tcPr/>
          <w:p>
            <w:pPr>
              <w:pStyle w:val="Compact"/>
              <w:jc w:val="left"/>
            </w:pPr>
            <w:r>
              <w:t xml:space="preserve">Phân bố mật độ năng suất lao động theo nhóm ICRV</w:t>
            </w:r>
          </w:p>
        </w:tc>
        <w:tc>
          <w:tcPr/>
          <w:p>
            <w:pPr>
              <w:pStyle w:val="Compact"/>
              <w:jc w:val="right"/>
            </w:pPr>
            <w:r>
              <w:t xml:space="preserve">70</w:t>
            </w:r>
          </w:p>
        </w:tc>
      </w:tr>
      <w:tr>
        <w:tc>
          <w:tcPr/>
          <w:p>
            <w:pPr>
              <w:pStyle w:val="Compact"/>
              <w:jc w:val="left"/>
            </w:pPr>
            <w:r>
              <w:t xml:space="preserve">4.7</w:t>
            </w:r>
          </w:p>
        </w:tc>
        <w:tc>
          <w:tcPr/>
          <w:p>
            <w:pPr>
              <w:pStyle w:val="Compact"/>
              <w:jc w:val="left"/>
            </w:pPr>
            <w:r>
              <w:t xml:space="preserve">Biểu đồ radar năng lực và quốc tế hóa theo nhóm ICRV</w:t>
            </w:r>
          </w:p>
        </w:tc>
        <w:tc>
          <w:tcPr/>
          <w:p>
            <w:pPr>
              <w:pStyle w:val="Compact"/>
              <w:jc w:val="right"/>
            </w:pPr>
            <w:r>
              <w:t xml:space="preserve">70</w:t>
            </w:r>
          </w:p>
        </w:tc>
      </w:tr>
      <w:tr>
        <w:tc>
          <w:tcPr/>
          <w:p>
            <w:pPr>
              <w:pStyle w:val="Compact"/>
              <w:jc w:val="left"/>
            </w:pPr>
            <w:r>
              <w:t xml:space="preserve">4.8</w:t>
            </w:r>
          </w:p>
        </w:tc>
        <w:tc>
          <w:tcPr/>
          <w:p>
            <w:pPr>
              <w:pStyle w:val="Compact"/>
              <w:jc w:val="left"/>
            </w:pPr>
            <w:r>
              <w:t xml:space="preserve">Họ đường cong quốc tế hóa và hiệu quả phụ thuộc chế độ thể chế ICRV</w:t>
            </w:r>
          </w:p>
        </w:tc>
        <w:tc>
          <w:tcPr/>
          <w:p>
            <w:pPr>
              <w:pStyle w:val="Compact"/>
              <w:jc w:val="right"/>
            </w:pPr>
            <w:r>
              <w:t xml:space="preserve">86</w:t>
            </w:r>
          </w:p>
        </w:tc>
      </w:tr>
    </w:tbl>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1"/>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1"/>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8"/>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8"/>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8"/>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8"/>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8"/>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9"/>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9"/>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9"/>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m:oMath>
        <m:sSub>
          <m:e>
            <m:r>
              <m:t>δ</m:t>
            </m:r>
          </m:e>
          <m:sub>
            <m:r>
              <m:t>s</m:t>
            </m:r>
          </m:sub>
        </m:sSub>
      </m:oMath>
      <w:r>
        <w:t xml:space="preserve">: ngành hiệu ứng cố định (ISIC 1-chữ số)</w:t>
      </w:r>
    </w:p>
    <w:p>
      <w:pPr>
        <w:numPr>
          <w:ilvl w:val="0"/>
          <w:numId w:val="1009"/>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0"/>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0"/>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0"/>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1"/>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1"/>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1"/>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1"/>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1"/>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1"/>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1"/>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1"/>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1"/>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1"/>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1"/>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1"/>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2"/>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2"/>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2"/>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2026-06-30T17:09:39Z</dcterms:created>
  <dcterms:modified xsi:type="dcterms:W3CDTF">2026-06-30T17:09:39Z</dcterms:modified>
</cp:coreProperties>
</file>

<file path=docProps/custom.xml><?xml version="1.0" encoding="utf-8"?>
<Properties xmlns="http://schemas.openxmlformats.org/officeDocument/2006/custom-properties" xmlns:vt="http://schemas.openxmlformats.org/officeDocument/2006/docPropsVTypes"/>
</file>