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(P6); (ii) bối cảnh thể chế tiên tiến dựa trên đổi mới tại Singapore (P4); (iii) bối cảnh thể chế trung bình cao tại Trung Quốc (P5); (iv) bối cảnh chuyển đổi bậc thấp đến trung tại Việt Nam (P3); (v) kiểm định toàn mẫu châu Á đa bối cảnh (P7); và (vi) trường hợp biên là các nền kinh tế đảo nhỏ đang phát triển ở Thái Bình Dương (P8).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e0084a7c2f7e752cafc4091ca0758f37f91bfa0"/>
    <w:p>
      <w:pPr>
        <w:pStyle w:val="Heading2"/>
      </w:pPr>
      <w:r>
        <w:t xml:space="preserve">4.1 Kết quả tổng hợp định lượng — Meta-analysis ba tầng (P6)</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P6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ae571c1410747d630a72c4d12985bac375822ae"/>
    <w:p>
      <w:pPr>
        <w:pStyle w:val="Heading2"/>
      </w:pPr>
      <w:r>
        <w:t xml:space="preserve">4.2 Kết quả bối cảnh thể chế tiên tiến — Đổi mới: Singapore (P4)</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P7 (45 nền kinh tế) sau đó xác nhận DAI có hiệu ứng nâng mặt bằng phổ quát (β=+0,155***) cùng cơ chế</w:t>
      </w:r>
      <w:r>
        <w:t xml:space="preserve"> </w:t>
      </w:r>
      <w:r>
        <w:t xml:space="preserve">“</w:t>
      </w:r>
      <w:r>
        <w:t xml:space="preserve">lá chắn số</w:t>
      </w:r>
      <w:r>
        <w:t xml:space="preserve">”</w:t>
      </w:r>
      <w:r>
        <w:t xml:space="preserve">: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abe361c2d5961cf19ce7ab2bd5d9bc6d758140a"/>
    <w:p>
      <w:pPr>
        <w:pStyle w:val="Heading2"/>
      </w:pPr>
      <w:r>
        <w:t xml:space="preserve">4.3 Kết quả bối cảnh thể chế trung bình cao: Trung Quốc, 2012–2024 (P5)</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P5.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dbd5cc67084304ba85b73781c0cb0c00b74055b"/>
    <w:p>
      <w:pPr>
        <w:pStyle w:val="Heading2"/>
      </w:pPr>
      <w:r>
        <w:t xml:space="preserve">4.4 Kết quả bối cảnh chuyển đổi bậc thấp—trung: Việt Nam (P3)</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Kết quả này không nhất thiết bác bỏ H3 mà có thể phản ánh hạn chế về đo lường: Tier-1 DAI chỉ nắm bắt mức độ chấp nhận số bề mặt (website, thư điện tử, bán hàng trực tuyến) chứ không đo được chiều sâu năng lực số. Với dữ liệu WBES Việt Nam chỉ cung cấp Tier-1, độ phân giải đo lường không đủ để phát hiện hiệu ứng điều tiết tinh tế hơn.</w:t>
      </w:r>
    </w:p>
    <w:p>
      <w:r>
        <w:pict>
          <v:rect style="width:0;height:1.5pt" o:hralign="center" o:hrstd="t" o:hr="t"/>
        </w:pict>
      </w:r>
    </w:p>
    <w:bookmarkEnd w:id="37"/>
    <w:bookmarkEnd w:id="38"/>
    <w:bookmarkStart w:id="42" w:name="X561afa853383c674354c1acb167a55cae3a018f"/>
    <w:p>
      <w:pPr>
        <w:pStyle w:val="Heading2"/>
      </w:pPr>
      <w:r>
        <w:t xml:space="preserve">4.5 Kết quả kiểm định toàn mẫu đa bối cảnh châu Á (P7)</w:t>
      </w:r>
    </w:p>
    <w:bookmarkStart w:id="39" w:name="mẫu-và-mô-hình-chính"/>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38.342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điểm uốn tổng thể:</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điểm uốn</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lý thuyết thể chế: trong môi trường thể chế mạnh (Nhóm I), doanh nghiệp hoàn vốn chi phí quốc tế hóa ở mức FSTS thấp hơn, tức đạt đỉnh hiệu quả sớm hơn. Tại các nền kinh tế thể chế yếu (Nhóm V–VI), doanh nghiệp cần mức độ quốc tế hóa cao hơn để bù đắp chi phí giao dịch, nên điểm uốn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lợi thế năng suất khoảng 17%).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P7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42f69945b56833cca239d45dc5864a7be6f74d7"/>
    <w:p>
      <w:pPr>
        <w:pStyle w:val="Heading2"/>
      </w:pPr>
      <w:r>
        <w:t xml:space="preserve">4.6 Kết quả trường hợp biên SIDS — Các nền kinh tế đảo nhỏ đang phát triển (P8)</w:t>
      </w:r>
    </w:p>
    <w:bookmarkStart w:id="43" w:name="đặc-điểm-mẫu-sids"/>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P7),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(P7).</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(P3 Việt Nam); trên toàn mẫu P7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(P4,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w:t>
      </w:r>
      <w:r>
        <w:t xml:space="preserve"> </w:t>
      </w:r>
      <w:r>
        <w:t xml:space="preserve">“</w:t>
      </w:r>
      <w:r>
        <w:t xml:space="preserve">lá chắn số</w:t>
      </w:r>
      <w:r>
        <w:t xml:space="preserve">”</w:t>
      </w:r>
      <w:r>
        <w:t xml:space="preserve"> </w:t>
      </w:r>
      <w:r>
        <w:t xml:space="preserve">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(P3)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P6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P6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điểm uốn</w:t>
      </w:r>
      <w:r>
        <w:t xml:space="preserve"> </w:t>
      </w:r>
      <w:r>
        <w:rPr>
          <w:bCs/>
          <w:b/>
        </w:rPr>
        <w:t xml:space="preserve">giảm</w:t>
      </w:r>
      <w:r>
        <w:t xml:space="preserve"> </w:t>
      </w:r>
      <w:r>
        <w:t xml:space="preserve">đơn điệu theo chiều từ SIDS/Frontier (~55%) xuống Advanced Innovation (~28%); thể chế càng mạnh thì doanh nghiệp đạt đỉnh hiệu quả ở mức quốc tế hóa càng thấp, qua đó xác nhận giá trị dự đoán của cách phân loại này.</w:t>
      </w:r>
    </w:p>
    <w:p>
      <w:r>
        <w:pict>
          <v:rect style="width:0;height:1.5pt" o:hralign="center" o:hrstd="t" o:hr="t"/>
        </w:pict>
      </w:r>
    </w:p>
    <w:bookmarkEnd w:id="61"/>
    <w:bookmarkEnd w:id="62"/>
    <w:bookmarkStart w:id="66"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hạn-chế-và-hướng-nghiên-cứu-tương-lai"/>
    <w:p>
      <w:pPr>
        <w:pStyle w:val="Heading2"/>
      </w:pPr>
      <w:r>
        <w:t xml:space="preserve">5.5 Hạn chế và hướng nghiên cứu tương lai</w:t>
      </w:r>
    </w:p>
    <w:bookmarkStart w:id="6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(P3),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7"/>
    <w:bookmarkStart w:id="68"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8"/>
    <w:bookmarkStart w:id="69"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69"/>
    <w:bookmarkStart w:id="70"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cần kiểm định vai trò của đặc điểm nhà quản trị cấp cao (H4 — kinh nghiệm, giới tính) trong từng bối cảnh ICRV riêng biệt, đặc biệt ở bối cảnh Frontier và SIDS nơi tầng năng lực và thể chế yếu hơn: liệu đặc điểm nhà quản trị có thể bù đắp một phần cho những thiếu hụt đó hay không?</w:t>
      </w:r>
    </w:p>
    <w:p>
      <w:r>
        <w:pict>
          <v:rect style="width:0;height:1.5pt" o:hralign="center" o:hrstd="t" o:hr="t"/>
        </w:pict>
      </w:r>
    </w:p>
    <w:bookmarkEnd w:id="70"/>
    <w:bookmarkEnd w:id="71"/>
    <w:bookmarkStart w:id="76" w:name="kết-luận-chương-và-luận-án"/>
    <w:p>
      <w:pPr>
        <w:pStyle w:val="Heading2"/>
      </w:pPr>
      <w:r>
        <w:t xml:space="preserve">5.6 Kết luận chương và luận án</w:t>
      </w:r>
    </w:p>
    <w:bookmarkStart w:id="72"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chữ U ngược với TP = 39,3–46,2%, trong đó TCI là yếu tố điều tiết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82.302</m:t>
        </m:r>
      </m:oMath>
      <w:r>
        <w:t xml:space="preserve"> </w:t>
      </w:r>
      <w:r>
        <w:t xml:space="preserve">(M2) /</w:t>
      </w:r>
      <w:r>
        <w:t xml:space="preserve"> </w:t>
      </w:r>
      <m:oMath>
        <m:r>
          <m:t>38.342</m:t>
        </m:r>
      </m:oMath>
      <w:r>
        <w:t xml:space="preserve"> </w:t>
      </w:r>
      <w:r>
        <w:t xml:space="preserve">(M3–M5 với controls), TP = 36,4–40,0%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và 82.302 doanh nghiệp tại 45 nền kinh tế châu Á và Thái Bình Dương (P7)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điểm uốn là một hàm số</w:t>
      </w:r>
      <w:r>
        <w:t xml:space="preserve"> </w:t>
      </w:r>
      <w:r>
        <w:rPr>
          <w:bCs/>
          <w:b/>
        </w:rPr>
        <w:t xml:space="preserve">giảm dần</w:t>
      </w:r>
      <w:r>
        <w:t xml:space="preserve"> </w:t>
      </w:r>
      <w:r>
        <w:t xml:space="preserve">theo chất lượng thể chế ICRV: thể chế càng mạnh thì điểm uốn càng thấp (cần mức FSTS thấp hơn để đạt đỉnh hiệu quả).</w:t>
      </w:r>
    </w:p>
    <w:bookmarkEnd w:id="73"/>
    <w:bookmarkStart w:id="7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4"/>
    <w:bookmarkStart w:id="7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2026-05-26T13:40:36Z</dcterms:created>
  <dcterms:modified xsi:type="dcterms:W3CDTF">2026-05-26T13:40:36Z</dcterms:modified>
</cp:coreProperties>
</file>

<file path=docProps/custom.xml><?xml version="1.0" encoding="utf-8"?>
<Properties xmlns="http://schemas.openxmlformats.org/officeDocument/2006/custom-properties" xmlns:vt="http://schemas.openxmlformats.org/officeDocument/2006/docPropsVTypes"/>
</file>