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0"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0"/>
    <w:bookmarkStart w:id="21"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21"/>
    <w:bookmarkStart w:id="22"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2"/>
    <w:bookmarkStart w:id="23"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3"/>
    <w:bookmarkStart w:id="24"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4"/>
    <w:bookmarkStart w:id="25"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5"/>
    <w:bookmarkStart w:id="26"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6"/>
    <w:bookmarkStart w:id="27" w:name="h.-firm-performance-đa-chiều"/>
    <w:p>
      <w:pPr>
        <w:pStyle w:val="Heading2"/>
      </w:pPr>
      <w:r>
        <w:t xml:space="preserve">H. Firm performance đa chiều</w:t>
      </w:r>
    </w:p>
    <w:p>
      <w:pPr>
        <w:pStyle w:val="FirstParagraph"/>
      </w:pPr>
      <w:r>
        <w:t xml:space="preserve">(Giữ nguyên từ v2.1.)</w:t>
      </w:r>
    </w:p>
    <w:bookmarkEnd w:id="27"/>
    <w:bookmarkStart w:id="28"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8"/>
    <w:bookmarkStart w:id="29"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29"/>
    <w:bookmarkStart w:id="30"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30"/>
    <w:bookmarkStart w:id="31"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31"/>
    <w:bookmarkStart w:id="32"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32"/>
    <w:bookmarkStart w:id="33"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33"/>
    <w:bookmarkStart w:id="34"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34"/>
    <w:bookmarkStart w:id="35"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p>
      <w:r>
        <w:pict>
          <v:rect style="width:0;height:1.5pt" o:hralign="center" o:hrstd="t" o:hr="t"/>
        </w:pict>
      </w:r>
    </w:p>
    <w:bookmarkEnd w:id="35"/>
    <w:bookmarkStart w:id="36"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Mar, K. S., Đỗ, T. H., &amp; Phan, A. T. (2026). Institutional completeness and the internationalization-performance relationship: Capability ceiling and dual substitution evidence from Singapore.</w:t>
      </w:r>
      <w:r>
        <w:t xml:space="preserve"> </w:t>
      </w:r>
      <w:r>
        <w:rPr>
          <w:iCs/>
          <w:i/>
        </w:rPr>
        <w:t xml:space="preserve">Management International Review</w:t>
      </w:r>
      <w:r>
        <w:t xml:space="preserve"> </w:t>
      </w:r>
      <w:r>
        <w:t xml:space="preserve">(under review).</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36"/>
    <w:bookmarkStart w:id="37"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37"/>
    <w:bookmarkStart w:id="38"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38"/>
    <w:bookmarkStart w:id="39"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39"/>
    <w:bookmarkStart w:id="43" w:name="hướng-dẫn-sử-dụng-cập-nhật-v2.5"/>
    <w:p>
      <w:pPr>
        <w:pStyle w:val="Heading2"/>
      </w:pPr>
      <w:r>
        <w:t xml:space="preserve">Hướng dẫn sử dụng (cập nhật v2.5)</w:t>
      </w:r>
    </w:p>
    <w:bookmarkStart w:id="40"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01"/>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01"/>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01"/>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01"/>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01"/>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01"/>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w:t>
      </w:r>
      <w:r>
        <w:t xml:space="preserve"> </w:t>
      </w:r>
      <w:r>
        <w:t xml:space="preserve">“</w:t>
      </w:r>
      <w:r>
        <w:t xml:space="preserve">Pirlea &amp; Corso (2026)</w:t>
      </w:r>
      <w:r>
        <w:t xml:space="preserve">”</w:t>
      </w:r>
    </w:p>
    <w:p>
      <w:pPr>
        <w:numPr>
          <w:ilvl w:val="1"/>
          <w:numId w:val="1002"/>
        </w:numPr>
        <w:pStyle w:val="Compact"/>
      </w:pPr>
      <w:r>
        <w:t xml:space="preserve">AI inequality story:</w:t>
      </w:r>
      <w:r>
        <w:t xml:space="preserve"> </w:t>
      </w:r>
      <w:r>
        <w:t xml:space="preserve">“</w:t>
      </w:r>
      <w:r>
        <w:t xml:space="preserve">Mahler, Wang &amp; Weber (2026)</w:t>
      </w:r>
      <w:r>
        <w:t xml:space="preserve">”</w:t>
      </w:r>
    </w:p>
    <w:p>
      <w:pPr>
        <w:numPr>
          <w:ilvl w:val="1"/>
          <w:numId w:val="1002"/>
        </w:numPr>
        <w:pStyle w:val="Compact"/>
      </w:pPr>
      <w:r>
        <w:t xml:space="preserve">Atlas overview/statistics:</w:t>
      </w:r>
      <w:r>
        <w:t xml:space="preserve"> </w:t>
      </w:r>
      <w:r>
        <w:t xml:space="preserve">“</w:t>
      </w:r>
      <w:r>
        <w:t xml:space="preserve">Pirlea et al. (2026 — Atlas)</w:t>
      </w:r>
      <w:r>
        <w:t xml:space="preserve">”</w:t>
      </w:r>
    </w:p>
    <w:p>
      <w:pPr>
        <w:numPr>
          <w:ilvl w:val="1"/>
          <w:numId w:val="1002"/>
        </w:numPr>
        <w:pStyle w:val="Compact"/>
      </w:pPr>
      <w:r>
        <w:t xml:space="preserve">Commodity markets blog:</w:t>
      </w:r>
      <w:r>
        <w:t xml:space="preserve"> </w:t>
      </w:r>
      <w:r>
        <w:t xml:space="preserve">“</w:t>
      </w:r>
      <w:r>
        <w:t xml:space="preserve">Agnolucci, Kenworthy &amp; Kose (2026)</w:t>
      </w:r>
      <w:r>
        <w:t xml:space="preserve">”</w:t>
      </w:r>
    </w:p>
    <w:p>
      <w:pPr>
        <w:numPr>
          <w:ilvl w:val="1"/>
          <w:numId w:val="1002"/>
        </w:numPr>
        <w:pStyle w:val="Compact"/>
      </w:pPr>
      <w:r>
        <w:t xml:space="preserve">AI financial supervision G20:</w:t>
      </w:r>
      <w:r>
        <w:t xml:space="preserve"> </w:t>
      </w:r>
      <w:r>
        <w:t xml:space="preserve">“</w:t>
      </w:r>
      <w:r>
        <w:t xml:space="preserve">Boeddu et al. (2025)</w:t>
      </w:r>
      <w:r>
        <w:t xml:space="preserve">”</w:t>
      </w:r>
    </w:p>
    <w:p>
      <w:pPr>
        <w:numPr>
          <w:ilvl w:val="0"/>
          <w:numId w:val="1001"/>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w:t>
      </w:r>
      <w:r>
        <w:t xml:space="preserve"> </w:t>
      </w:r>
      <w:r>
        <w:t xml:space="preserve">“</w:t>
      </w:r>
      <w:r>
        <w:t xml:space="preserve">Enterprise Singapore (2025)</w:t>
      </w:r>
      <w:r>
        <w:t xml:space="preserve">”</w:t>
      </w:r>
    </w:p>
    <w:p>
      <w:pPr>
        <w:numPr>
          <w:ilvl w:val="1"/>
          <w:numId w:val="1003"/>
        </w:numPr>
        <w:pStyle w:val="Compact"/>
      </w:pPr>
      <w:r>
        <w:t xml:space="preserve">Digital government rankings:</w:t>
      </w:r>
      <w:r>
        <w:t xml:space="preserve"> </w:t>
      </w:r>
      <w:r>
        <w:t xml:space="preserve">“</w:t>
      </w:r>
      <w:r>
        <w:t xml:space="preserve">GovTech Singapore (2024)</w:t>
      </w:r>
      <w:r>
        <w:t xml:space="preserve">”</w:t>
      </w:r>
    </w:p>
    <w:p>
      <w:pPr>
        <w:numPr>
          <w:ilvl w:val="1"/>
          <w:numId w:val="1003"/>
        </w:numPr>
        <w:pStyle w:val="Compact"/>
      </w:pPr>
      <w:r>
        <w:t xml:space="preserve">ATxSG summit:</w:t>
      </w:r>
      <w:r>
        <w:t xml:space="preserve"> </w:t>
      </w:r>
      <w:r>
        <w:t xml:space="preserve">“</w:t>
      </w:r>
      <w:r>
        <w:t xml:space="preserve">IMDA (2025)</w:t>
      </w:r>
      <w:r>
        <w:t xml:space="preserve">”</w:t>
      </w:r>
    </w:p>
    <w:p>
      <w:pPr>
        <w:numPr>
          <w:ilvl w:val="1"/>
          <w:numId w:val="1003"/>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04"/>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04"/>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04"/>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04"/>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40"/>
    <w:bookmarkStart w:id="41"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41"/>
    <w:bookmarkStart w:id="42"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42"/>
    <w:bookmarkEnd w:id="43"/>
    <w:bookmarkStart w:id="44"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44"/>
    <w:bookmarkStart w:id="45"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45"/>
    <w:bookmarkStart w:id="46"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bookmarkEnd w:id="46"/>
    <w:bookmarkStart w:id="47"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47"/>
    <w:bookmarkStart w:id="51"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48"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r>
        <w:t xml:space="preserve"> </w:t>
      </w:r>
      <w:r>
        <w:rPr>
          <w:iCs/>
          <w:i/>
        </w:rPr>
        <w:t xml:space="preserve">(P1 — VEFR, đã công bố.)</w:t>
      </w:r>
    </w:p>
    <w:p>
      <w:pPr>
        <w:pStyle w:val="BodyText"/>
      </w:pPr>
      <w:r>
        <w:t xml:space="preserve">Do, T. H., &amp; Phan, A. T. (2026b).</w:t>
      </w:r>
      <w:r>
        <w:t xml:space="preserve"> </w:t>
      </w:r>
      <w:r>
        <w:rPr>
          <w:iCs/>
          <w:i/>
        </w:rPr>
        <w:t xml:space="preserve">Forced internationalization penalty: Firm performance in Pacific small island developing states</w:t>
      </w:r>
      <w:r>
        <w:t xml:space="preserve"> </w:t>
      </w:r>
      <w:r>
        <w:t xml:space="preserve">[Manuscript under review].</w:t>
      </w:r>
      <w:r>
        <w:t xml:space="preserve"> </w:t>
      </w:r>
      <w:r>
        <w:rPr>
          <w:iCs/>
          <w:i/>
        </w:rPr>
        <w:t xml:space="preserve">World Development</w:t>
      </w:r>
      <w:r>
        <w:t xml:space="preserve">.</w:t>
      </w:r>
      <w:r>
        <w:t xml:space="preserve"> </w:t>
      </w:r>
      <w:r>
        <w:rPr>
          <w:iCs/>
          <w:i/>
        </w:rPr>
        <w:t xml:space="preserve">(P8 — Pacific SIDS, World Development under review.)</w:t>
      </w:r>
    </w:p>
    <w:p>
      <w:pPr>
        <w:pStyle w:val="BodyText"/>
      </w:pPr>
      <w:r>
        <w:t xml:space="preserve">Do, T. H., &amp; Phan, A. T. (2026c).</w:t>
      </w:r>
      <w:r>
        <w:t xml:space="preserve"> </w:t>
      </w:r>
      <w:r>
        <w:rPr>
          <w:iCs/>
          <w:i/>
        </w:rPr>
        <w:t xml:space="preserve">Institutional context, digital adoption, and the internationalization-performance relationship: A three-level meta-analysis</w:t>
      </w:r>
      <w:r>
        <w:t xml:space="preserve"> </w:t>
      </w:r>
      <w:r>
        <w:t xml:space="preserve">[Manuscript under review].</w:t>
      </w:r>
      <w:r>
        <w:t xml:space="preserve"> </w:t>
      </w:r>
      <w:r>
        <w:rPr>
          <w:iCs/>
          <w:i/>
        </w:rPr>
        <w:t xml:space="preserve">International Business Review</w:t>
      </w:r>
      <w:r>
        <w:t xml:space="preserve">.</w:t>
      </w:r>
      <w:r>
        <w:t xml:space="preserve"> </w:t>
      </w:r>
      <w:r>
        <w:rPr>
          <w:iCs/>
          <w:i/>
        </w:rPr>
        <w:t xml:space="preserve">(P6 — Meta-analysis, IBR under review.)</w:t>
      </w:r>
    </w:p>
    <w:p>
      <w:pPr>
        <w:pStyle w:val="BodyText"/>
      </w:pPr>
      <w:r>
        <w:t xml:space="preserve">Do, T. H., &amp; Phan, A. T. (2026d).</w:t>
      </w:r>
      <w:r>
        <w:t xml:space="preserve"> </w:t>
      </w:r>
      <w:r>
        <w:rPr>
          <w:iCs/>
          <w:i/>
        </w:rPr>
        <w:t xml:space="preserve">Internationalization and firm performance across 49 Asian and Pacific economies: Institutional regimes, digital capabilities, and managerial characteristics as contingency factors</w:t>
      </w:r>
      <w:r>
        <w:t xml:space="preserve"> </w:t>
      </w:r>
      <w:r>
        <w:t xml:space="preserve">[Manuscript under revision].</w:t>
      </w:r>
      <w:r>
        <w:t xml:space="preserve"> </w:t>
      </w:r>
      <w:r>
        <w:rPr>
          <w:iCs/>
          <w:i/>
        </w:rPr>
        <w:t xml:space="preserve">Journal of International Business Studies</w:t>
      </w:r>
      <w:r>
        <w:t xml:space="preserve">.</w:t>
      </w:r>
      <w:r>
        <w:t xml:space="preserve"> </w:t>
      </w:r>
      <w:r>
        <w:rPr>
          <w:iCs/>
          <w:i/>
        </w:rPr>
        <w:t xml:space="preserve">(P7 — Đa quốc gia 45 nền kinh tế, JIBS under revision.)</w:t>
      </w:r>
    </w:p>
    <w:p>
      <w:pPr>
        <w:pStyle w:val="BodyText"/>
      </w:pPr>
      <w:r>
        <w:t xml:space="preserve">Do, T. H., &amp; Phan, A. T. (2026e).</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w:t>
      </w:r>
      <w:r>
        <w:t xml:space="preserve"> </w:t>
      </w:r>
      <w:r>
        <w:rPr>
          <w:iCs/>
          <w:i/>
        </w:rPr>
        <w:t xml:space="preserve">(P3 — Việt Nam, JABS under review.)</w:t>
      </w:r>
    </w:p>
    <w:p>
      <w:pPr>
        <w:pStyle w:val="BodyText"/>
      </w:pPr>
      <w:r>
        <w:t xml:space="preserve">Do, T. H., &amp; Phan, A. T. (2026f).</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w:t>
      </w:r>
      <w:r>
        <w:t xml:space="preserve"> </w:t>
      </w:r>
      <w:r>
        <w:rPr>
          <w:iCs/>
          <w:i/>
        </w:rPr>
        <w:t xml:space="preserve">(P5 — Trung Quốc, IJOEM under review.)</w:t>
      </w:r>
    </w:p>
    <w:p>
      <w:pPr>
        <w:pStyle w:val="BodyText"/>
      </w:pPr>
      <w:r>
        <w:t xml:space="preserve">Do, T. H., &amp; Phan, A. T. (2026g).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r>
        <w:t xml:space="preserve"> </w:t>
      </w:r>
      <w:r>
        <w:rPr>
          <w:iCs/>
          <w:i/>
        </w:rPr>
        <w:t xml:space="preserve">(P2 — JFAR, đã công bố.)</w:t>
      </w:r>
    </w:p>
    <w:bookmarkEnd w:id="48"/>
    <w:bookmarkStart w:id="49"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49"/>
    <w:bookmarkStart w:id="50"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50"/>
    <w:bookmarkEnd w:id="51"/>
    <w:bookmarkEnd w:id="5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2026-05-26T13:40:36Z</dcterms:created>
  <dcterms:modified xsi:type="dcterms:W3CDTF">2026-05-26T13:40:36Z</dcterms:modified>
</cp:coreProperties>
</file>

<file path=docProps/custom.xml><?xml version="1.0" encoding="utf-8"?>
<Properties xmlns="http://schemas.openxmlformats.org/officeDocument/2006/custom-properties" xmlns:vt="http://schemas.openxmlformats.org/officeDocument/2006/docPropsVTypes"/>
</file>