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BỘ GIÁO DỤC VÀ ĐÀO TẠO</w:t>
      </w:r>
    </w:p>
    <w:p>
      <w:pPr>
        <w:pStyle w:val="BodyText"/>
      </w:pPr>
      <w:r>
        <w:rPr>
          <w:bCs/>
          <w:b/>
        </w:rPr>
        <w:t xml:space="preserve">TRƯỜNG ĐẠI HỌC CẦN THƠ</w:t>
      </w:r>
    </w:p>
    <w:p>
      <w:pPr>
        <w:pStyle w:val="BodyText"/>
      </w:pPr>
      <w:r>
        <w:rPr>
          <w:bCs/>
          <w:b/>
        </w:rPr>
        <w:t xml:space="preserve">TRƯỜNG KINH TẾ</w:t>
      </w:r>
    </w:p>
    <w:p>
      <w:pPr>
        <w:pStyle w:val="BodyText"/>
      </w:pPr>
      <w:r>
        <w:t xml:space="preserve">────────────</w:t>
      </w:r>
    </w:p>
    <w:p>
      <w:pPr>
        <w:pStyle w:val="BodyText"/>
      </w:pPr>
      <w:r>
        <w:rPr>
          <w:bCs/>
          <w:b/>
        </w:rPr>
        <w:t xml:space="preserve">ĐỖ THÙY HƯƠNG</w:t>
      </w:r>
    </w:p>
    <w:bookmarkStart w:id="21" w:name="tổng-luận-tổng-quan"/>
    <w:p>
      <w:pPr>
        <w:pStyle w:val="Heading1"/>
      </w:pPr>
      <w:r>
        <w:t xml:space="preserve">TỔNG LUẬN TỔNG QUAN</w:t>
      </w:r>
    </w:p>
    <w:bookmarkStart w:id="20" w:name="Xe77c17eaa7c77dda493854c0ec20fadf3ed9358"/>
    <w:p>
      <w:pPr>
        <w:pStyle w:val="Heading2"/>
      </w:pPr>
      <w:r>
        <w:t xml:space="preserve">ĐỊNH VỊ NGHIÊN CỨU VỀ MỐI QUAN HỆ GIỮA QUỐC TẾ HÓA VÀ HIỆU QUẢ HOẠT ĐỘNG KINH DOANH CỦA DOANH NGHIỆP TẠI CHÂU Á VÀ KHU VỰC LÂN CẬN: SO SÁNH VỚI CÁC CÔNG TRÌNH NGHIÊN CỨU QUỐC TẾ TƯƠNG ĐƯƠNG</w:t>
      </w:r>
    </w:p>
    <w:p>
      <w:pPr>
        <w:pStyle w:val="FirstParagraph"/>
      </w:pPr>
      <w:r>
        <w:rPr>
          <w:bCs/>
          <w:b/>
        </w:rPr>
        <w:t xml:space="preserve">Ngành:</w:t>
      </w:r>
      <w:r>
        <w:t xml:space="preserve"> </w:t>
      </w:r>
      <w:r>
        <w:t xml:space="preserve">Quản trị kinh doanh</w:t>
      </w:r>
    </w:p>
    <w:p>
      <w:pPr>
        <w:pStyle w:val="BodyText"/>
      </w:pPr>
      <w:r>
        <w:rPr>
          <w:bCs/>
          <w:b/>
        </w:rPr>
        <w:t xml:space="preserve">Mã ngành:</w:t>
      </w:r>
      <w:r>
        <w:t xml:space="preserve"> </w:t>
      </w:r>
      <w:r>
        <w:t xml:space="preserve">9 34 01 01</w:t>
      </w:r>
    </w:p>
    <w:p>
      <w:pPr>
        <w:pStyle w:val="BodyText"/>
      </w:pPr>
      <w:r>
        <w:rPr>
          <w:bCs/>
          <w:b/>
        </w:rPr>
        <w:t xml:space="preserve">Mã nghiên cứu sinh:</w:t>
      </w:r>
      <w:r>
        <w:t xml:space="preserve"> </w:t>
      </w:r>
      <w:r>
        <w:t xml:space="preserve">P1323001</w:t>
      </w:r>
    </w:p>
    <w:p>
      <w:pPr>
        <w:pStyle w:val="BodyText"/>
      </w:pPr>
      <w:r>
        <w:rPr>
          <w:bCs/>
          <w:b/>
        </w:rPr>
        <w:t xml:space="preserve">NGƯỜI HƯỚNG DẪN KHOA HỌC</w:t>
      </w:r>
    </w:p>
    <w:p>
      <w:pPr>
        <w:pStyle w:val="BodyText"/>
      </w:pPr>
      <w:r>
        <w:rPr>
          <w:bCs/>
          <w:b/>
        </w:rPr>
        <w:t xml:space="preserve">PGS.TS. PHAN ANH TÚ</w:t>
      </w:r>
    </w:p>
    <w:p>
      <w:pPr>
        <w:pStyle w:val="BodyText"/>
      </w:pPr>
      <w:r>
        <w:rPr>
          <w:bCs/>
          <w:b/>
        </w:rPr>
        <w:t xml:space="preserve">Cần Thơ, năm 2026</w:t>
      </w:r>
    </w:p>
    <w:bookmarkEnd w:id="20"/>
    <w:bookmarkEnd w:id="21"/>
    <w:p>
      <w:r>
        <w:pict>
          <v:rect style="width:0;height:1.5pt" o:hralign="center" o:hrstd="t" o:hr="t"/>
        </w:pict>
      </w:r>
    </w:p>
    <w:bookmarkStart w:id="22" w:name="mục-lục"/>
    <w:p>
      <w:pPr>
        <w:pStyle w:val="Heading1"/>
      </w:pPr>
      <w:r>
        <w:t xml:space="preserve">MỤC LỤC</w:t>
      </w:r>
    </w:p>
    <w:p>
      <w:pPr>
        <w:numPr>
          <w:ilvl w:val="0"/>
          <w:numId w:val="1001"/>
        </w:numPr>
        <w:pStyle w:val="Compact"/>
      </w:pPr>
      <w:r>
        <w:t xml:space="preserve">Định vị dựa trên hiện tượng — vì sao luận án này khác biệt</w:t>
      </w:r>
    </w:p>
    <w:p>
      <w:pPr>
        <w:numPr>
          <w:ilvl w:val="0"/>
          <w:numId w:val="1001"/>
        </w:numPr>
        <w:pStyle w:val="Compact"/>
      </w:pPr>
      <w:r>
        <w:t xml:space="preserve">So sánh với 6 chương trình nghiên cứu tương đương</w:t>
      </w:r>
    </w:p>
    <w:p>
      <w:pPr>
        <w:numPr>
          <w:ilvl w:val="0"/>
          <w:numId w:val="1001"/>
        </w:numPr>
        <w:pStyle w:val="Compact"/>
      </w:pPr>
      <w:r>
        <w:t xml:space="preserve">So sánh với 4 luận án kinh điển trong tài liệu về quan hệ giữa quốc tế hóa và hiệu quả hoạt động</w:t>
      </w:r>
    </w:p>
    <w:p>
      <w:pPr>
        <w:numPr>
          <w:ilvl w:val="0"/>
          <w:numId w:val="1001"/>
        </w:numPr>
        <w:pStyle w:val="Compact"/>
      </w:pPr>
      <w:r>
        <w:t xml:space="preserve">So sánh với các luận án ở châu Á</w:t>
      </w:r>
    </w:p>
    <w:p>
      <w:pPr>
        <w:numPr>
          <w:ilvl w:val="0"/>
          <w:numId w:val="1001"/>
        </w:numPr>
        <w:pStyle w:val="Compact"/>
      </w:pPr>
      <w:r>
        <w:t xml:space="preserve">Luận án Việt Nam cùng chủ đề</w:t>
      </w:r>
    </w:p>
    <w:p>
      <w:pPr>
        <w:numPr>
          <w:ilvl w:val="0"/>
          <w:numId w:val="1001"/>
        </w:numPr>
        <w:pStyle w:val="Compact"/>
      </w:pPr>
      <w:r>
        <w:t xml:space="preserve">Ma trận khác biệt hóa</w:t>
      </w:r>
    </w:p>
    <w:p>
      <w:pPr>
        <w:numPr>
          <w:ilvl w:val="0"/>
          <w:numId w:val="1001"/>
        </w:numPr>
        <w:pStyle w:val="Compact"/>
      </w:pPr>
      <w:r>
        <w:t xml:space="preserve">Các điểm trình bày cho buổi demo với giảng viên hướng dẫn</w:t>
      </w:r>
    </w:p>
    <w:p>
      <w:pPr>
        <w:numPr>
          <w:ilvl w:val="0"/>
          <w:numId w:val="1001"/>
        </w:numPr>
        <w:pStyle w:val="Compact"/>
      </w:pPr>
      <w:r>
        <w:t xml:space="preserve">Câu hỏi thường được hỏi và câu trả lời chuẩn bị sẵn</w:t>
      </w:r>
    </w:p>
    <w:p>
      <w:pPr>
        <w:numPr>
          <w:ilvl w:val="0"/>
          <w:numId w:val="1001"/>
        </w:numPr>
        <w:pStyle w:val="Compact"/>
      </w:pPr>
      <w:r>
        <w:t xml:space="preserve">Tài liệu tham khảo (APA 7th)</w:t>
      </w:r>
    </w:p>
    <w:p>
      <w:pPr>
        <w:numPr>
          <w:ilvl w:val="0"/>
          <w:numId w:val="1001"/>
        </w:numPr>
        <w:pStyle w:val="Compact"/>
      </w:pPr>
      <w:r>
        <w:t xml:space="preserve">Tóm tắt một trang cho buổi demo</w:t>
      </w:r>
    </w:p>
    <w:p>
      <w:pPr>
        <w:numPr>
          <w:ilvl w:val="0"/>
          <w:numId w:val="1001"/>
        </w:numPr>
        <w:pStyle w:val="Compact"/>
      </w:pPr>
      <w:r>
        <w:t xml:space="preserve">File kèm theo để demo với giảng viên hướng dẫn</w:t>
      </w:r>
    </w:p>
    <w:p>
      <w:r>
        <w:pict>
          <v:rect style="width:0;height:1.5pt" o:hralign="center" o:hrstd="t" o:hr="t"/>
        </w:pict>
      </w:r>
    </w:p>
    <w:bookmarkEnd w:id="22"/>
    <w:bookmarkStart w:id="23" w:name="Xf6f47a997e69c5c61f0a15dab729d86b11298e9"/>
    <w:p>
      <w:pPr>
        <w:pStyle w:val="Heading1"/>
      </w:pPr>
      <w:r>
        <w:t xml:space="preserve">1. Định vị dựa trên hiện tượng — vì sao luận án này khác biệt</w:t>
      </w:r>
    </w:p>
    <w:p>
      <w:pPr>
        <w:pStyle w:val="FirstParagraph"/>
      </w:pPr>
      <w:r>
        <w:t xml:space="preserve">Luận án của nghiên cứu sinh là một</w:t>
      </w:r>
      <w:r>
        <w:t xml:space="preserve"> </w:t>
      </w:r>
      <w:r>
        <w:rPr>
          <w:bCs/>
          <w:b/>
        </w:rPr>
        <w:t xml:space="preserve">luận án dạng tích lũy</w:t>
      </w:r>
      <w:r>
        <w:t xml:space="preserve"> </w:t>
      </w:r>
      <w:r>
        <w:t xml:space="preserve">gồm</w:t>
      </w:r>
      <w:r>
        <w:t xml:space="preserve"> </w:t>
      </w:r>
      <w:r>
        <w:rPr>
          <w:bCs/>
          <w:b/>
        </w:rPr>
        <w:t xml:space="preserve">8 bài báo</w:t>
      </w:r>
      <w:r>
        <w:t xml:space="preserve"> </w:t>
      </w:r>
      <w:r>
        <w:t xml:space="preserve">(P1–P8), dựa trên</w:t>
      </w:r>
      <w:r>
        <w:t xml:space="preserve"> </w:t>
      </w:r>
      <w:r>
        <w:rPr>
          <w:bCs/>
          <w:b/>
        </w:rPr>
        <w:t xml:space="preserve">dữ liệu WBES đa quốc gia ở 45 nền kinh tế</w:t>
      </w:r>
      <w:r>
        <w:t xml:space="preserve"> </w:t>
      </w:r>
      <w:r>
        <w:t xml:space="preserve">và</w:t>
      </w:r>
      <w:r>
        <w:t xml:space="preserve"> </w:t>
      </w:r>
      <w:r>
        <w:rPr>
          <w:bCs/>
          <w:b/>
        </w:rPr>
        <w:t xml:space="preserve">mạch trần thuật về gradient thể chế</w:t>
      </w:r>
      <w:r>
        <w:t xml:space="preserve"> </w:t>
      </w:r>
      <w:r>
        <w:t xml:space="preserve">theo khung ICRV (Institutional Context Regime Variation — Biến thiên chế độ bối cảnh thể chế), trải từ Singapore (ICRV Regime I — Advanced Innovation-Driven) đến Pacific SIDS (ICRV Regime V/Frontier). Trong số 1,745 bài báo sử dụng WBES đã công bố,</w:t>
      </w:r>
      <w:r>
        <w:t xml:space="preserve"> </w:t>
      </w:r>
      <w:r>
        <w:rPr>
          <w:bCs/>
          <w:b/>
        </w:rPr>
        <w:t xml:space="preserve">không có</w:t>
      </w:r>
      <w:r>
        <w:t xml:space="preserve"> </w:t>
      </w:r>
      <w:r>
        <w:t xml:space="preserve">luận án nào có cấu trúc tương đương.</w:t>
      </w:r>
    </w:p>
    <w:p>
      <w:pPr>
        <w:pStyle w:val="BodyText"/>
      </w:pPr>
      <w:r>
        <w:t xml:space="preserve">Tổng luận này đối chiếu luận án với các công trình nghiên cứu quốc tế và châu Á tương đương nhằm chứng minh</w:t>
      </w:r>
      <w:r>
        <w:t xml:space="preserve"> </w:t>
      </w:r>
      <w:r>
        <w:rPr>
          <w:bCs/>
          <w:b/>
        </w:rPr>
        <w:t xml:space="preserve">tính mới và đóng góp độc đáo</w:t>
      </w:r>
      <w:r>
        <w:t xml:space="preserve"> </w:t>
      </w:r>
      <w:r>
        <w:t xml:space="preserve">trong bối cảnh học thuật quốc tế hiện nay.</w:t>
      </w:r>
    </w:p>
    <w:bookmarkEnd w:id="23"/>
    <w:bookmarkStart w:id="30" w:name="Xbbb641c37adb5958546c23562a2dfbfa14d699f"/>
    <w:p>
      <w:pPr>
        <w:pStyle w:val="Heading1"/>
      </w:pPr>
      <w:r>
        <w:t xml:space="preserve">2. So sánh với 6 chương trình nghiên cứu tương đương</w:t>
      </w:r>
    </w:p>
    <w:bookmarkStart w:id="24" w:name="marano-et-al.-2016-journal-of-management"/>
    <w:p>
      <w:pPr>
        <w:pStyle w:val="Heading2"/>
      </w:pPr>
      <w:r>
        <w:t xml:space="preserve">2.1 Marano et al. (2016) —</w:t>
      </w:r>
      <w:r>
        <w:t xml:space="preserve"> </w:t>
      </w:r>
      <w:r>
        <w:rPr>
          <w:iCs/>
          <w:i/>
        </w:rPr>
        <w:t xml:space="preserve">Journal of Management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Marano et al. (2016)</w:t>
            </w:r>
          </w:p>
        </w:tc>
        <w:tc>
          <w:tcPr/>
          <w:p>
            <w:pPr>
              <w:pStyle w:val="Compact"/>
              <w:jc w:val="left"/>
            </w:pPr>
            <w:r>
              <w:t xml:space="preserve">NCS dissertation</w:t>
            </w:r>
          </w:p>
        </w:tc>
      </w:tr>
      <w:tr>
        <w:tc>
          <w:tcPr/>
          <w:p>
            <w:pPr>
              <w:pStyle w:val="Compact"/>
              <w:jc w:val="left"/>
            </w:pPr>
            <w:r>
              <w:t xml:space="preserve">Loại nghiên cứu</w:t>
            </w:r>
          </w:p>
        </w:tc>
        <w:tc>
          <w:tcPr/>
          <w:p>
            <w:pPr>
              <w:pStyle w:val="Compact"/>
              <w:jc w:val="left"/>
            </w:pPr>
            <w:r>
              <w:t xml:space="preserve">Single meta-analysis paper</w:t>
            </w:r>
          </w:p>
        </w:tc>
        <w:tc>
          <w:tcPr/>
          <w:p>
            <w:pPr>
              <w:pStyle w:val="Compact"/>
              <w:jc w:val="left"/>
            </w:pPr>
            <w:r>
              <w:rPr>
                <w:bCs/>
                <w:b/>
              </w:rPr>
              <w:t xml:space="preserve">Cumulative dissertation 8 papers</w:t>
            </w:r>
          </w:p>
        </w:tc>
      </w:tr>
      <w:tr>
        <w:tc>
          <w:tcPr/>
          <w:p>
            <w:pPr>
              <w:pStyle w:val="Compact"/>
              <w:jc w:val="left"/>
            </w:pPr>
            <w:r>
              <w:t xml:space="preserve">Sample</w:t>
            </w:r>
          </w:p>
        </w:tc>
        <w:tc>
          <w:tcPr/>
          <w:p>
            <w:pPr>
              <w:pStyle w:val="Compact"/>
              <w:jc w:val="left"/>
            </w:pPr>
            <w:r>
              <w:t xml:space="preserve">170 studies, 32 countries, 1972–2012</w:t>
            </w:r>
          </w:p>
        </w:tc>
        <w:tc>
          <w:tcPr/>
          <w:p>
            <w:pPr>
              <w:pStyle w:val="Compact"/>
              <w:jc w:val="left"/>
            </w:pPr>
            <w:r>
              <w:t xml:space="preserve">47–45 economies WBES + 113 studies meta + Pacific SIDS</w:t>
            </w:r>
          </w:p>
        </w:tc>
      </w:tr>
      <w:tr>
        <w:tc>
          <w:tcPr/>
          <w:p>
            <w:pPr>
              <w:pStyle w:val="Compact"/>
              <w:jc w:val="left"/>
            </w:pPr>
            <w:r>
              <w:t xml:space="preserve">Theory</w:t>
            </w:r>
          </w:p>
        </w:tc>
        <w:tc>
          <w:tcPr/>
          <w:p>
            <w:pPr>
              <w:pStyle w:val="Compact"/>
              <w:jc w:val="left"/>
            </w:pPr>
            <w:r>
              <w:t xml:space="preserve">Home country institutions moderates I-P</w:t>
            </w:r>
          </w:p>
        </w:tc>
        <w:tc>
          <w:tcPr/>
          <w:p>
            <w:pPr>
              <w:pStyle w:val="Compact"/>
              <w:jc w:val="left"/>
            </w:pPr>
            <w:r>
              <w:rPr>
                <w:bCs/>
                <w:b/>
              </w:rPr>
              <w:t xml:space="preserve">Institutional gradient + 3 prerequisites theory</w:t>
            </w:r>
          </w:p>
        </w:tc>
      </w:tr>
      <w:tr>
        <w:tc>
          <w:tcPr/>
          <w:p>
            <w:pPr>
              <w:pStyle w:val="Compact"/>
              <w:jc w:val="left"/>
            </w:pPr>
            <w:r>
              <w:t xml:space="preserve">Contribution</w:t>
            </w:r>
          </w:p>
        </w:tc>
        <w:tc>
          <w:tcPr/>
          <w:p>
            <w:pPr>
              <w:pStyle w:val="Compact"/>
              <w:jc w:val="left"/>
            </w:pPr>
            <w:r>
              <w:t xml:space="preserve">Institutional quality moderates degree of effect</w:t>
            </w:r>
          </w:p>
        </w:tc>
        <w:tc>
          <w:tcPr/>
          <w:p>
            <w:pPr>
              <w:pStyle w:val="Compact"/>
              <w:jc w:val="left"/>
            </w:pPr>
            <w:r>
              <w:rPr>
                <w:bCs/>
                <w:b/>
              </w:rPr>
              <w:t xml:space="preserve">Inverted-U is conditional, not universal</w:t>
            </w:r>
            <w:r>
              <w:t xml:space="preserve"> </w:t>
            </w:r>
            <w:r>
              <w:t xml:space="preserve">— sign reversal in extreme regimes</w:t>
            </w:r>
          </w:p>
        </w:tc>
      </w:tr>
      <w:tr>
        <w:tc>
          <w:tcPr/>
          <w:p>
            <w:pPr>
              <w:pStyle w:val="Compact"/>
              <w:jc w:val="left"/>
            </w:pPr>
            <w:r>
              <w:t xml:space="preserve">Method</w:t>
            </w:r>
          </w:p>
        </w:tc>
        <w:tc>
          <w:tcPr/>
          <w:p>
            <w:pPr>
              <w:pStyle w:val="Compact"/>
              <w:jc w:val="left"/>
            </w:pPr>
            <w:r>
              <w:t xml:space="preserve">Random-effects meta-regression</w:t>
            </w:r>
          </w:p>
        </w:tc>
        <w:tc>
          <w:tcPr/>
          <w:p>
            <w:pPr>
              <w:pStyle w:val="Compact"/>
              <w:jc w:val="left"/>
            </w:pPr>
            <w:r>
              <w:rPr>
                <w:bCs/>
                <w:b/>
              </w:rPr>
              <w:t xml:space="preserve">Mixed: meta-analysis + multi-country + extreme boundary case</w:t>
            </w:r>
          </w:p>
        </w:tc>
      </w:tr>
      <w:tr>
        <w:tc>
          <w:tcPr/>
          <w:p>
            <w:pPr>
              <w:pStyle w:val="Compact"/>
              <w:jc w:val="left"/>
            </w:pPr>
            <w:r>
              <w:t xml:space="preserve">Impact</w:t>
            </w:r>
          </w:p>
        </w:tc>
        <w:tc>
          <w:tcPr/>
          <w:p>
            <w:pPr>
              <w:pStyle w:val="Compact"/>
              <w:jc w:val="left"/>
            </w:pPr>
            <w:r>
              <w:t xml:space="preserve">Foundational reference</w:t>
            </w:r>
          </w:p>
        </w:tc>
        <w:tc>
          <w:tcPr/>
          <w:p>
            <w:pPr>
              <w:pStyle w:val="Compact"/>
              <w:jc w:val="left"/>
            </w:pPr>
            <w:r>
              <w:t xml:space="preserve">Builds on Marano, extends with Pacific SIDS test</w:t>
            </w:r>
          </w:p>
        </w:tc>
      </w:tr>
    </w:tbl>
    <w:p>
      <w:pPr>
        <w:pStyle w:val="BodyText"/>
      </w:pPr>
      <w:r>
        <w:rPr>
          <w:bCs/>
          <w:b/>
        </w:rPr>
        <w:t xml:space="preserve">Điểm khác biệt</w:t>
      </w:r>
      <w:r>
        <w:t xml:space="preserve">: Marano dừng lại ở</w:t>
      </w:r>
      <w:r>
        <w:t xml:space="preserve"> </w:t>
      </w:r>
      <w:r>
        <w:t xml:space="preserve">“</w:t>
      </w:r>
      <w:r>
        <w:t xml:space="preserve">điều tiết thể chế</w:t>
      </w:r>
      <w:r>
        <w:t xml:space="preserve">”</w:t>
      </w:r>
      <w:r>
        <w:t xml:space="preserve">, còn luận án của nghiên cứu sinh đi xa hơn đến mức</w:t>
      </w:r>
      <w:r>
        <w:t xml:space="preserve"> </w:t>
      </w:r>
      <w:r>
        <w:t xml:space="preserve">“</w:t>
      </w:r>
      <w:r>
        <w:t xml:space="preserve">phụ thuộc thể chế</w:t>
      </w:r>
      <w:r>
        <w:t xml:space="preserve">”</w:t>
      </w:r>
      <w:r>
        <w:t xml:space="preserve"> </w:t>
      </w:r>
      <w:r>
        <w:t xml:space="preserve">(dấu của hiệu ứng đảo chiều khi chế độ thể chế ở mức cực đoan).</w:t>
      </w:r>
    </w:p>
    <w:bookmarkEnd w:id="24"/>
    <w:bookmarkStart w:id="25" w:name="X675bbd6711333258246cb1487096a63339c1524"/>
    <w:p>
      <w:pPr>
        <w:pStyle w:val="Heading2"/>
      </w:pPr>
      <w:r>
        <w:t xml:space="preserve">2.2 Wu, Fan, &amp; Chen (2022) —</w:t>
      </w:r>
      <w:r>
        <w:t xml:space="preserve"> </w:t>
      </w:r>
      <w:r>
        <w:rPr>
          <w:iCs/>
          <w:i/>
        </w:rPr>
        <w:t xml:space="preserve">Management International Review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Wu et al. (2022)</w:t>
            </w:r>
          </w:p>
        </w:tc>
        <w:tc>
          <w:tcPr/>
          <w:p>
            <w:pPr>
              <w:pStyle w:val="Compact"/>
              <w:jc w:val="left"/>
            </w:pPr>
            <w:r>
              <w:t xml:space="preserve">NCS dissertation</w:t>
            </w:r>
          </w:p>
        </w:tc>
      </w:tr>
      <w:tr>
        <w:tc>
          <w:tcPr/>
          <w:p>
            <w:pPr>
              <w:pStyle w:val="Compact"/>
              <w:jc w:val="left"/>
            </w:pPr>
            <w:r>
              <w:t xml:space="preserve">Loại nghiên cứu</w:t>
            </w:r>
          </w:p>
        </w:tc>
        <w:tc>
          <w:tcPr/>
          <w:p>
            <w:pPr>
              <w:pStyle w:val="Compact"/>
              <w:jc w:val="left"/>
            </w:pPr>
            <w:r>
              <w:t xml:space="preserve">Single meta-analysis paper</w:t>
            </w:r>
          </w:p>
        </w:tc>
        <w:tc>
          <w:tcPr/>
          <w:p>
            <w:pPr>
              <w:pStyle w:val="Compact"/>
              <w:jc w:val="left"/>
            </w:pPr>
            <w:r>
              <w:t xml:space="preserve">Cumulative dissertation</w:t>
            </w:r>
          </w:p>
        </w:tc>
      </w:tr>
      <w:tr>
        <w:tc>
          <w:tcPr/>
          <w:p>
            <w:pPr>
              <w:pStyle w:val="Compact"/>
              <w:jc w:val="left"/>
            </w:pPr>
            <w:r>
              <w:t xml:space="preserve">Sample</w:t>
            </w:r>
          </w:p>
        </w:tc>
        <w:tc>
          <w:tcPr/>
          <w:p>
            <w:pPr>
              <w:pStyle w:val="Compact"/>
              <w:jc w:val="left"/>
            </w:pPr>
            <w:r>
              <w:t xml:space="preserve">218 effect sizes, 186 studies, EMNEs</w:t>
            </w:r>
          </w:p>
        </w:tc>
        <w:tc>
          <w:tcPr/>
          <w:p>
            <w:pPr>
              <w:pStyle w:val="Compact"/>
              <w:jc w:val="left"/>
            </w:pPr>
            <w:r>
              <w:t xml:space="preserve">47–45 economies WBES + meta-analysis + SIDS</w:t>
            </w:r>
          </w:p>
        </w:tc>
      </w:tr>
      <w:tr>
        <w:tc>
          <w:tcPr/>
          <w:p>
            <w:pPr>
              <w:pStyle w:val="Compact"/>
              <w:jc w:val="left"/>
            </w:pPr>
            <w:r>
              <w:t xml:space="preserve">Theory</w:t>
            </w:r>
          </w:p>
        </w:tc>
        <w:tc>
          <w:tcPr/>
          <w:p>
            <w:pPr>
              <w:pStyle w:val="Compact"/>
              <w:jc w:val="left"/>
            </w:pPr>
            <w:r>
              <w:t xml:space="preserve">Government quality moderates EMNE I-P</w:t>
            </w:r>
          </w:p>
        </w:tc>
        <w:tc>
          <w:tcPr/>
          <w:p>
            <w:pPr>
              <w:pStyle w:val="Compact"/>
              <w:jc w:val="left"/>
            </w:pPr>
            <w:r>
              <w:t xml:space="preserve">Multi-tier framework (4 layers + digital lens)</w:t>
            </w:r>
          </w:p>
        </w:tc>
      </w:tr>
      <w:tr>
        <w:tc>
          <w:tcPr/>
          <w:p>
            <w:pPr>
              <w:pStyle w:val="Compact"/>
              <w:jc w:val="left"/>
            </w:pPr>
            <w:r>
              <w:t xml:space="preserve">Contribution</w:t>
            </w:r>
          </w:p>
        </w:tc>
        <w:tc>
          <w:tcPr/>
          <w:p>
            <w:pPr>
              <w:pStyle w:val="Compact"/>
              <w:jc w:val="left"/>
            </w:pPr>
            <w:r>
              <w:t xml:space="preserve">EMNE-specific moderation</w:t>
            </w:r>
          </w:p>
        </w:tc>
        <w:tc>
          <w:tcPr/>
          <w:p>
            <w:pPr>
              <w:pStyle w:val="Compact"/>
              <w:jc w:val="left"/>
            </w:pPr>
            <w:r>
              <w:rPr>
                <w:bCs/>
                <w:b/>
              </w:rPr>
              <w:t xml:space="preserve">Asian-specific + extreme boundary cases</w:t>
            </w:r>
          </w:p>
        </w:tc>
      </w:tr>
      <w:tr>
        <w:tc>
          <w:tcPr/>
          <w:p>
            <w:pPr>
              <w:pStyle w:val="Compact"/>
              <w:jc w:val="left"/>
            </w:pPr>
            <w:r>
              <w:t xml:space="preserve">Time period</w:t>
            </w:r>
          </w:p>
        </w:tc>
        <w:tc>
          <w:tcPr/>
          <w:p>
            <w:pPr>
              <w:pStyle w:val="Compact"/>
              <w:jc w:val="left"/>
            </w:pPr>
            <w:r>
              <w:t xml:space="preserve">1998–2021</w:t>
            </w:r>
          </w:p>
        </w:tc>
        <w:tc>
          <w:tcPr/>
          <w:p>
            <w:pPr>
              <w:pStyle w:val="Compact"/>
              <w:jc w:val="left"/>
            </w:pPr>
            <w:r>
              <w:t xml:space="preserve">1982–2026 (extended)</w:t>
            </w:r>
          </w:p>
        </w:tc>
      </w:tr>
    </w:tbl>
    <w:p>
      <w:pPr>
        <w:pStyle w:val="BodyText"/>
      </w:pPr>
      <w:r>
        <w:rPr>
          <w:bCs/>
          <w:b/>
        </w:rPr>
        <w:t xml:space="preserve">Điểm khác biệt</w:t>
      </w:r>
      <w:r>
        <w:t xml:space="preserve">: Wu tập trung vào doanh nghiệp đa quốc gia thị trường mới nổi nói chung; nghiên cứu sinh tập trung vào</w:t>
      </w:r>
      <w:r>
        <w:t xml:space="preserve"> </w:t>
      </w:r>
      <w:r>
        <w:rPr>
          <w:bCs/>
          <w:b/>
        </w:rPr>
        <w:t xml:space="preserve">châu Á và Thái Bình Dương</w:t>
      </w:r>
      <w:r>
        <w:t xml:space="preserve">, kèm các</w:t>
      </w:r>
      <w:r>
        <w:t xml:space="preserve"> </w:t>
      </w:r>
      <w:r>
        <w:rPr>
          <w:bCs/>
          <w:b/>
        </w:rPr>
        <w:t xml:space="preserve">trường hợp biên</w:t>
      </w:r>
      <w:r>
        <w:t xml:space="preserve"> </w:t>
      </w:r>
      <w:r>
        <w:t xml:space="preserve">Pacific SIDS mà Wu chưa bao quát.</w:t>
      </w:r>
    </w:p>
    <w:bookmarkEnd w:id="25"/>
    <w:bookmarkStart w:id="26" w:name="Xbad7e70cd4cfe1ff41c4c0a572961df845bb66a"/>
    <w:p>
      <w:pPr>
        <w:pStyle w:val="Heading2"/>
      </w:pPr>
      <w:r>
        <w:t xml:space="preserve">2.3 Kirca, Roth, Hult, &amp; Cavusgil (2012) —</w:t>
      </w:r>
      <w:r>
        <w:t xml:space="preserve"> </w:t>
      </w:r>
      <w:r>
        <w:rPr>
          <w:iCs/>
          <w:i/>
        </w:rPr>
        <w:t xml:space="preserve">Global Strategy Journal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Kirca et al. (2012)</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154 samples, 47,849 firms</w:t>
            </w:r>
          </w:p>
        </w:tc>
        <w:tc>
          <w:tcPr/>
          <w:p>
            <w:pPr>
              <w:pStyle w:val="Compact"/>
              <w:jc w:val="left"/>
            </w:pPr>
            <w:r>
              <w:t xml:space="preserve">45-economy WBES</w:t>
            </w:r>
          </w:p>
        </w:tc>
      </w:tr>
      <w:tr>
        <w:tc>
          <w:tcPr/>
          <w:p>
            <w:pPr>
              <w:pStyle w:val="Compact"/>
              <w:jc w:val="left"/>
            </w:pPr>
            <w:r>
              <w:t xml:space="preserve">Method</w:t>
            </w:r>
          </w:p>
        </w:tc>
        <w:tc>
          <w:tcPr/>
          <w:p>
            <w:pPr>
              <w:pStyle w:val="Compact"/>
              <w:jc w:val="left"/>
            </w:pPr>
            <w:r>
              <w:t xml:space="preserve">Meta-analytic review</w:t>
            </w:r>
          </w:p>
        </w:tc>
        <w:tc>
          <w:tcPr/>
          <w:p>
            <w:pPr>
              <w:pStyle w:val="Compact"/>
              <w:jc w:val="left"/>
            </w:pPr>
            <w:r>
              <w:t xml:space="preserve">Mixed methodology</w:t>
            </w:r>
          </w:p>
        </w:tc>
      </w:tr>
      <w:tr>
        <w:tc>
          <w:tcPr/>
          <w:p>
            <w:pPr>
              <w:pStyle w:val="Compact"/>
              <w:jc w:val="left"/>
            </w:pPr>
            <w:r>
              <w:t xml:space="preserve">Time period</w:t>
            </w:r>
          </w:p>
        </w:tc>
        <w:tc>
          <w:tcPr/>
          <w:p>
            <w:pPr>
              <w:pStyle w:val="Compact"/>
              <w:jc w:val="left"/>
            </w:pPr>
            <w:r>
              <w:t xml:space="preserve">1977–2009</w:t>
            </w:r>
          </w:p>
        </w:tc>
        <w:tc>
          <w:tcPr/>
          <w:p>
            <w:pPr>
              <w:pStyle w:val="Compact"/>
              <w:jc w:val="left"/>
            </w:pPr>
            <w:r>
              <w:t xml:space="preserve">1982–2026</w:t>
            </w:r>
          </w:p>
        </w:tc>
      </w:tr>
      <w:tr>
        <w:tc>
          <w:tcPr/>
          <w:p>
            <w:pPr>
              <w:pStyle w:val="Compact"/>
              <w:jc w:val="left"/>
            </w:pPr>
            <w:r>
              <w:t xml:space="preserve">Contribution</w:t>
            </w:r>
          </w:p>
        </w:tc>
        <w:tc>
          <w:tcPr/>
          <w:p>
            <w:pPr>
              <w:pStyle w:val="Compact"/>
              <w:jc w:val="left"/>
            </w:pPr>
            <w:r>
              <w:t xml:space="preserve">Context-dependent I-P</w:t>
            </w:r>
          </w:p>
        </w:tc>
        <w:tc>
          <w:tcPr/>
          <w:p>
            <w:pPr>
              <w:pStyle w:val="Compact"/>
              <w:jc w:val="left"/>
            </w:pPr>
            <w:r>
              <w:rPr>
                <w:bCs/>
                <w:b/>
              </w:rPr>
              <w:t xml:space="preserve">Context-conditional</w:t>
            </w:r>
            <w:r>
              <w:t xml:space="preserve"> </w:t>
            </w:r>
            <w:r>
              <w:t xml:space="preserve">I-P (stronger claim)</w:t>
            </w:r>
          </w:p>
        </w:tc>
      </w:tr>
    </w:tbl>
    <w:p>
      <w:pPr>
        <w:pStyle w:val="BodyText"/>
      </w:pPr>
      <w:r>
        <w:rPr>
          <w:bCs/>
          <w:b/>
        </w:rPr>
        <w:t xml:space="preserve">Điểm khác biệt</w:t>
      </w:r>
      <w:r>
        <w:t xml:space="preserve">: Kirca đã thiết lập tính phụ thuộc bối cảnh; nghiên cứu sinh mở rộng sang tính điều kiện theo bối cảnh, kèm bằng chứng về sự đảo chiều của dấu hiệu ứng.</w:t>
      </w:r>
    </w:p>
    <w:bookmarkEnd w:id="26"/>
    <w:bookmarkStart w:id="27" w:name="X61587effb55c69149e26ead7acd83b1a1176c3d"/>
    <w:p>
      <w:pPr>
        <w:pStyle w:val="Heading2"/>
      </w:pPr>
      <w:r>
        <w:t xml:space="preserve">2.4 Cuervo-Cazurra, Ciravegna, Melgarejo, &amp; Lopez (2018) —</w:t>
      </w:r>
      <w:r>
        <w:t xml:space="preserve"> </w:t>
      </w:r>
      <w:r>
        <w:rPr>
          <w:iCs/>
          <w:i/>
        </w:rPr>
        <w:t xml:space="preserve">Journal of World Business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Cuervo-Cazurra et al. (2018)</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218 firms, Colombia EMNEs, 2006–2012</w:t>
            </w:r>
          </w:p>
        </w:tc>
        <w:tc>
          <w:tcPr/>
          <w:p>
            <w:pPr>
              <w:pStyle w:val="Compact"/>
              <w:jc w:val="left"/>
            </w:pPr>
            <w:r>
              <w:t xml:space="preserve">47–45 economies WBES, 1982–2026</w:t>
            </w:r>
          </w:p>
        </w:tc>
      </w:tr>
      <w:tr>
        <w:tc>
          <w:tcPr/>
          <w:p>
            <w:pPr>
              <w:pStyle w:val="Compact"/>
              <w:jc w:val="left"/>
            </w:pPr>
            <w:r>
              <w:t xml:space="preserve">Method</w:t>
            </w:r>
          </w:p>
        </w:tc>
        <w:tc>
          <w:tcPr/>
          <w:p>
            <w:pPr>
              <w:pStyle w:val="Compact"/>
              <w:jc w:val="left"/>
            </w:pPr>
            <w:r>
              <w:t xml:space="preserve">Single-country panel</w:t>
            </w:r>
          </w:p>
        </w:tc>
        <w:tc>
          <w:tcPr/>
          <w:p>
            <w:pPr>
              <w:pStyle w:val="Compact"/>
              <w:jc w:val="left"/>
            </w:pPr>
            <w:r>
              <w:rPr>
                <w:bCs/>
                <w:b/>
              </w:rPr>
              <w:t xml:space="preserve">Multi-country mixed methodology</w:t>
            </w:r>
          </w:p>
        </w:tc>
      </w:tr>
      <w:tr>
        <w:tc>
          <w:tcPr/>
          <w:p>
            <w:pPr>
              <w:pStyle w:val="Compact"/>
              <w:jc w:val="left"/>
            </w:pPr>
            <w:r>
              <w:t xml:space="preserve">Theory</w:t>
            </w:r>
          </w:p>
        </w:tc>
        <w:tc>
          <w:tcPr/>
          <w:p>
            <w:pPr>
              <w:pStyle w:val="Compact"/>
              <w:jc w:val="left"/>
            </w:pPr>
            <w:r>
              <w:t xml:space="preserve">Home country uncertainty + capability</w:t>
            </w:r>
          </w:p>
        </w:tc>
        <w:tc>
          <w:tcPr/>
          <w:p>
            <w:pPr>
              <w:pStyle w:val="Compact"/>
              <w:jc w:val="left"/>
            </w:pPr>
            <w:r>
              <w:rPr>
                <w:bCs/>
                <w:b/>
              </w:rPr>
              <w:t xml:space="preserve">4-tier framework + digital lens + Forced Penalty</w:t>
            </w:r>
          </w:p>
        </w:tc>
      </w:tr>
    </w:tbl>
    <w:p>
      <w:pPr>
        <w:pStyle w:val="BodyText"/>
      </w:pPr>
      <w:r>
        <w:rPr>
          <w:bCs/>
          <w:b/>
        </w:rPr>
        <w:t xml:space="preserve">Điểm khác biệt</w:t>
      </w:r>
      <w:r>
        <w:t xml:space="preserve">: Cuervo-Cazurra nghiên cứu một quốc gia; nghiên cứu sinh nghiên cứu đa quốc gia kèm gradient thể chế.</w:t>
      </w:r>
    </w:p>
    <w:bookmarkEnd w:id="27"/>
    <w:bookmarkStart w:id="28" w:name="X928b981f46f6dd64d7fab05a2115a0589832040"/>
    <w:p>
      <w:pPr>
        <w:pStyle w:val="Heading2"/>
      </w:pPr>
      <w:r>
        <w:t xml:space="preserve">2.5 Bhandari, Zámborský, Ranta, &amp; Salo (2023) —</w:t>
      </w:r>
      <w:r>
        <w:t xml:space="preserve"> </w:t>
      </w:r>
      <w:r>
        <w:rPr>
          <w:iCs/>
          <w:i/>
        </w:rPr>
        <w:t xml:space="preserve">International Business Review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Bhandari et al. (2023)</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571 USA manufacturing firms</w:t>
            </w:r>
          </w:p>
        </w:tc>
        <w:tc>
          <w:tcPr/>
          <w:p>
            <w:pPr>
              <w:pStyle w:val="Compact"/>
              <w:jc w:val="left"/>
            </w:pPr>
            <w:r>
              <w:t xml:space="preserve">47–45 economies (WBES Asian + Pacific)</w:t>
            </w:r>
          </w:p>
        </w:tc>
      </w:tr>
      <w:tr>
        <w:tc>
          <w:tcPr/>
          <w:p>
            <w:pPr>
              <w:pStyle w:val="Compact"/>
              <w:jc w:val="left"/>
            </w:pPr>
            <w:r>
              <w:t xml:space="preserve">Method</w:t>
            </w:r>
          </w:p>
        </w:tc>
        <w:tc>
          <w:tcPr/>
          <w:p>
            <w:pPr>
              <w:pStyle w:val="Compact"/>
              <w:jc w:val="left"/>
            </w:pPr>
            <w:r>
              <w:t xml:space="preserve">Single country panel</w:t>
            </w:r>
          </w:p>
        </w:tc>
        <w:tc>
          <w:tcPr/>
          <w:p>
            <w:pPr>
              <w:pStyle w:val="Compact"/>
              <w:jc w:val="left"/>
            </w:pPr>
            <w:r>
              <w:t xml:space="preserve">Multi-country pooled</w:t>
            </w:r>
          </w:p>
        </w:tc>
      </w:tr>
      <w:tr>
        <w:tc>
          <w:tcPr/>
          <w:p>
            <w:pPr>
              <w:pStyle w:val="Compact"/>
              <w:jc w:val="left"/>
            </w:pPr>
            <w:r>
              <w:t xml:space="preserve">Theory</w:t>
            </w:r>
          </w:p>
        </w:tc>
        <w:tc>
          <w:tcPr/>
          <w:p>
            <w:pPr>
              <w:pStyle w:val="Compact"/>
              <w:jc w:val="left"/>
            </w:pPr>
            <w:r>
              <w:t xml:space="preserve">Resource orchestration + new OLI</w:t>
            </w:r>
          </w:p>
        </w:tc>
        <w:tc>
          <w:tcPr/>
          <w:p>
            <w:pPr>
              <w:pStyle w:val="Compact"/>
              <w:jc w:val="left"/>
            </w:pPr>
            <w:r>
              <w:t xml:space="preserve">Multi-tier + Forced Penalty boundary</w:t>
            </w:r>
          </w:p>
        </w:tc>
      </w:tr>
      <w:tr>
        <w:tc>
          <w:tcPr/>
          <w:p>
            <w:pPr>
              <w:pStyle w:val="Compact"/>
              <w:jc w:val="left"/>
            </w:pPr>
            <w:r>
              <w:t xml:space="preserve">Digital</w:t>
            </w:r>
          </w:p>
        </w:tc>
        <w:tc>
          <w:tcPr/>
          <w:p>
            <w:pPr>
              <w:pStyle w:val="Compact"/>
              <w:jc w:val="left"/>
            </w:pPr>
            <w:r>
              <w:t xml:space="preserve">Digital capability composite (resource-orchestration)</w:t>
            </w:r>
          </w:p>
        </w:tc>
        <w:tc>
          <w:tcPr/>
          <w:p>
            <w:pPr>
              <w:pStyle w:val="Compact"/>
              <w:jc w:val="left"/>
            </w:pPr>
            <w:r>
              <w:rPr>
                <w:bCs/>
                <w:b/>
              </w:rPr>
              <w:t xml:space="preserve">TCI + DAI riêng biệt</w:t>
            </w:r>
            <w:r>
              <w:t xml:space="preserve"> </w:t>
            </w:r>
            <w:r>
              <w:t xml:space="preserve">theo Bharadwaj et al. (2013), Verhoef et al. (2021), Coltman et al. (2008)</w:t>
            </w:r>
          </w:p>
        </w:tc>
      </w:tr>
    </w:tbl>
    <w:p>
      <w:pPr>
        <w:pStyle w:val="BodyText"/>
      </w:pPr>
      <w:r>
        <w:rPr>
          <w:bCs/>
          <w:b/>
        </w:rPr>
        <w:t xml:space="preserve">Điểm khác biệt</w:t>
      </w:r>
      <w:r>
        <w:t xml:space="preserve">: Bhandari nghiên cứu một quốc gia là Hoa Kỳ, gộp năng lực số theo logic dàn xếp nguồn lực; nghiên cứu sinh nghiên cứu</w:t>
      </w:r>
      <w:r>
        <w:t xml:space="preserve"> </w:t>
      </w:r>
      <w:r>
        <w:rPr>
          <w:bCs/>
          <w:b/>
        </w:rPr>
        <w:t xml:space="preserve">đa quốc gia thị trường mới nổi</w:t>
      </w:r>
      <w:r>
        <w:t xml:space="preserve"> </w:t>
      </w:r>
      <w:r>
        <w:t xml:space="preserve">và</w:t>
      </w:r>
      <w:r>
        <w:t xml:space="preserve"> </w:t>
      </w:r>
      <w:r>
        <w:rPr>
          <w:bCs/>
          <w:b/>
        </w:rPr>
        <w:t xml:space="preserve">tách bạch TCI với DAI</w:t>
      </w:r>
      <w:r>
        <w:t xml:space="preserve"> </w:t>
      </w:r>
      <w:r>
        <w:t xml:space="preserve">(kế thừa Bharadwaj 2013, Verhoef 2021, Cohen &amp; Levinthal 1990, Lall 1992), nhờ đó vững hơn về mặt lý thuyết.</w:t>
      </w:r>
    </w:p>
    <w:bookmarkEnd w:id="28"/>
    <w:bookmarkStart w:id="29" w:name="X1569677a03f9147cd5d6b95f9e5260e968dc7eb"/>
    <w:p>
      <w:pPr>
        <w:pStyle w:val="Heading2"/>
      </w:pPr>
      <w:r>
        <w:t xml:space="preserve">2.6 Chen &amp; Meng (2022) —</w:t>
      </w:r>
      <w:r>
        <w:t xml:space="preserve"> </w:t>
      </w:r>
      <w:r>
        <w:rPr>
          <w:iCs/>
          <w:i/>
        </w:rPr>
        <w:t xml:space="preserve">Managerial and Decision Economics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Chen &amp; Meng (2022)</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China WBES single country</w:t>
            </w:r>
          </w:p>
        </w:tc>
        <w:tc>
          <w:tcPr/>
          <w:p>
            <w:pPr>
              <w:pStyle w:val="Compact"/>
              <w:jc w:val="left"/>
            </w:pPr>
            <w:r>
              <w:t xml:space="preserve">China + 35 other countries</w:t>
            </w:r>
          </w:p>
        </w:tc>
      </w:tr>
      <w:tr>
        <w:tc>
          <w:tcPr/>
          <w:p>
            <w:pPr>
              <w:pStyle w:val="Compact"/>
              <w:jc w:val="left"/>
            </w:pPr>
            <w:r>
              <w:t xml:space="preserve">Theory</w:t>
            </w:r>
          </w:p>
        </w:tc>
        <w:tc>
          <w:tcPr/>
          <w:p>
            <w:pPr>
              <w:pStyle w:val="Compact"/>
              <w:jc w:val="left"/>
            </w:pPr>
            <w:r>
              <w:t xml:space="preserve">Institutional constraints + digital</w:t>
            </w:r>
          </w:p>
        </w:tc>
        <w:tc>
          <w:tcPr/>
          <w:p>
            <w:pPr>
              <w:pStyle w:val="Compact"/>
              <w:jc w:val="left"/>
            </w:pPr>
            <w:r>
              <w:rPr>
                <w:bCs/>
                <w:b/>
              </w:rPr>
              <w:t xml:space="preserve">Full institutional gradient</w:t>
            </w:r>
          </w:p>
        </w:tc>
      </w:tr>
      <w:tr>
        <w:tc>
          <w:tcPr/>
          <w:p>
            <w:pPr>
              <w:pStyle w:val="Compact"/>
              <w:jc w:val="left"/>
            </w:pPr>
            <w:r>
              <w:t xml:space="preserve">DV</w:t>
            </w:r>
          </w:p>
        </w:tc>
        <w:tc>
          <w:tcPr/>
          <w:p>
            <w:pPr>
              <w:pStyle w:val="Compact"/>
              <w:jc w:val="left"/>
            </w:pPr>
            <w:r>
              <w:t xml:space="preserve">Export performance only</w:t>
            </w:r>
          </w:p>
        </w:tc>
        <w:tc>
          <w:tcPr/>
          <w:p>
            <w:pPr>
              <w:pStyle w:val="Compact"/>
              <w:jc w:val="left"/>
            </w:pPr>
            <w:r>
              <w:rPr>
                <w:bCs/>
                <w:b/>
              </w:rPr>
              <w:t xml:space="preserve">Multiple DVs</w:t>
            </w:r>
            <w:r>
              <w:t xml:space="preserve"> </w:t>
            </w:r>
            <w:r>
              <w:t xml:space="preserve">(productivity, ROS, growth)</w:t>
            </w:r>
          </w:p>
        </w:tc>
      </w:tr>
    </w:tbl>
    <w:p>
      <w:pPr>
        <w:pStyle w:val="BodyText"/>
      </w:pPr>
      <w:r>
        <w:rPr>
          <w:bCs/>
          <w:b/>
        </w:rPr>
        <w:t xml:space="preserve">Điểm khác biệt</w:t>
      </w:r>
      <w:r>
        <w:t xml:space="preserve">: Chen và Meng chỉ phân tích riêng Trung Quốc; nghiên cứu sinh định vị Trung Quốc trong một gradient rộng hơn.</w:t>
      </w:r>
    </w:p>
    <w:bookmarkEnd w:id="29"/>
    <w:bookmarkEnd w:id="30"/>
    <w:bookmarkStart w:id="35" w:name="X78aea080e7d2733005bc9e209e601db53b462e8"/>
    <w:p>
      <w:pPr>
        <w:pStyle w:val="Heading1"/>
      </w:pPr>
      <w:r>
        <w:t xml:space="preserve">3. So sánh với 4 luận án kinh điển trong tài liệu về quan hệ giữa quốc tế hóa và hiệu quả hoạt động</w:t>
      </w:r>
    </w:p>
    <w:bookmarkStart w:id="31" w:name="Xa0703f80107e1a5fdd14867c21014c2a1cace97"/>
    <w:p>
      <w:pPr>
        <w:pStyle w:val="Heading2"/>
      </w:pPr>
      <w:r>
        <w:t xml:space="preserve">3.1 Lu &amp; Beamish (Japanese MNCs, multiple papers 2001–2004)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Lu &amp; Beamish</w:t>
            </w:r>
          </w:p>
        </w:tc>
        <w:tc>
          <w:tcPr/>
          <w:p>
            <w:pPr>
              <w:pStyle w:val="Compact"/>
              <w:jc w:val="left"/>
            </w:pPr>
            <w:r>
              <w:t xml:space="preserve">NCS dissertation</w:t>
            </w:r>
          </w:p>
        </w:tc>
      </w:tr>
      <w:tr>
        <w:tc>
          <w:tcPr/>
          <w:p>
            <w:pPr>
              <w:pStyle w:val="Compact"/>
              <w:jc w:val="left"/>
            </w:pPr>
            <w:r>
              <w:t xml:space="preserve">Country focus</w:t>
            </w:r>
          </w:p>
        </w:tc>
        <w:tc>
          <w:tcPr/>
          <w:p>
            <w:pPr>
              <w:pStyle w:val="Compact"/>
              <w:jc w:val="left"/>
            </w:pPr>
            <w:r>
              <w:t xml:space="preserve">Japan single</w:t>
            </w:r>
          </w:p>
        </w:tc>
        <w:tc>
          <w:tcPr/>
          <w:p>
            <w:pPr>
              <w:pStyle w:val="Compact"/>
              <w:jc w:val="left"/>
            </w:pPr>
            <w:r>
              <w:t xml:space="preserve">Asian + Pacific multi-country</w:t>
            </w:r>
          </w:p>
        </w:tc>
      </w:tr>
      <w:tr>
        <w:tc>
          <w:tcPr/>
          <w:p>
            <w:pPr>
              <w:pStyle w:val="Compact"/>
              <w:jc w:val="left"/>
            </w:pPr>
            <w:r>
              <w:t xml:space="preserve">Time</w:t>
            </w:r>
          </w:p>
        </w:tc>
        <w:tc>
          <w:tcPr/>
          <w:p>
            <w:pPr>
              <w:pStyle w:val="Compact"/>
              <w:jc w:val="left"/>
            </w:pPr>
            <w:r>
              <w:t xml:space="preserve">1986–1997</w:t>
            </w:r>
          </w:p>
        </w:tc>
        <w:tc>
          <w:tcPr/>
          <w:p>
            <w:pPr>
              <w:pStyle w:val="Compact"/>
              <w:jc w:val="left"/>
            </w:pPr>
            <w:r>
              <w:t xml:space="preserve">1982–2026 (5 decades)</w:t>
            </w:r>
          </w:p>
        </w:tc>
      </w:tr>
      <w:tr>
        <w:tc>
          <w:tcPr/>
          <w:p>
            <w:pPr>
              <w:pStyle w:val="Compact"/>
              <w:jc w:val="left"/>
            </w:pPr>
            <w:r>
              <w:t xml:space="preserve">Theory contribution</w:t>
            </w:r>
          </w:p>
        </w:tc>
        <w:tc>
          <w:tcPr/>
          <w:p>
            <w:pPr>
              <w:pStyle w:val="Compact"/>
              <w:jc w:val="left"/>
            </w:pPr>
            <w:r>
              <w:t xml:space="preserve">S-curve hypothesis</w:t>
            </w:r>
          </w:p>
        </w:tc>
        <w:tc>
          <w:tcPr/>
          <w:p>
            <w:pPr>
              <w:pStyle w:val="Compact"/>
              <w:jc w:val="left"/>
            </w:pPr>
            <w:r>
              <w:rPr>
                <w:bCs/>
                <w:b/>
              </w:rPr>
              <w:t xml:space="preserve">Conditional inverted-U + Forced Penalty</w:t>
            </w:r>
          </w:p>
        </w:tc>
      </w:tr>
      <w:tr>
        <w:tc>
          <w:tcPr/>
          <w:p>
            <w:pPr>
              <w:pStyle w:val="Compact"/>
              <w:jc w:val="left"/>
            </w:pPr>
            <w:r>
              <w:t xml:space="preserve">Sample</w:t>
            </w:r>
          </w:p>
        </w:tc>
        <w:tc>
          <w:tcPr/>
          <w:p>
            <w:pPr>
              <w:pStyle w:val="Compact"/>
              <w:jc w:val="left"/>
            </w:pPr>
            <w:r>
              <w:t xml:space="preserve">Up to 1,489 Japanese firms</w:t>
            </w:r>
          </w:p>
        </w:tc>
        <w:tc>
          <w:tcPr/>
          <w:p>
            <w:pPr>
              <w:pStyle w:val="Compact"/>
              <w:jc w:val="left"/>
            </w:pPr>
            <w:r>
              <w:t xml:space="preserve">Up to 30,000+ firms across regions</w:t>
            </w:r>
          </w:p>
        </w:tc>
      </w:tr>
    </w:tbl>
    <w:p>
      <w:pPr>
        <w:pStyle w:val="BodyText"/>
      </w:pPr>
      <w:r>
        <w:rPr>
          <w:bCs/>
          <w:b/>
        </w:rPr>
        <w:t xml:space="preserve">Điểm kế thừa</w:t>
      </w:r>
      <w:r>
        <w:t xml:space="preserve">: nghiên cứu sinh kế thừa khung đường chữ S, mở rộng sang nhiều bối cảnh châu Á và trường hợp cực đoan ở Thái Bình Dương.</w:t>
      </w:r>
    </w:p>
    <w:bookmarkEnd w:id="31"/>
    <w:bookmarkStart w:id="32" w:name="X16880c4dff73a06853cf45a1f4ac7bce4cf10e5"/>
    <w:p>
      <w:pPr>
        <w:pStyle w:val="Heading2"/>
      </w:pPr>
      <w:r>
        <w:t xml:space="preserve">3.2 Contractor, Kumar, &amp; Kundu (2007) —</w:t>
      </w:r>
      <w:r>
        <w:t xml:space="preserve"> </w:t>
      </w:r>
      <w:r>
        <w:rPr>
          <w:iCs/>
          <w:i/>
        </w:rPr>
        <w:t xml:space="preserve">Journal of World Business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Contractor et al. (2007)</w:t>
            </w:r>
          </w:p>
        </w:tc>
        <w:tc>
          <w:tcPr/>
          <w:p>
            <w:pPr>
              <w:pStyle w:val="Compact"/>
              <w:jc w:val="left"/>
            </w:pPr>
            <w:r>
              <w:t xml:space="preserve">NCS dissertation</w:t>
            </w:r>
          </w:p>
        </w:tc>
      </w:tr>
      <w:tr>
        <w:tc>
          <w:tcPr/>
          <w:p>
            <w:pPr>
              <w:pStyle w:val="Compact"/>
              <w:jc w:val="left"/>
            </w:pPr>
            <w:r>
              <w:t xml:space="preserve">Country</w:t>
            </w:r>
          </w:p>
        </w:tc>
        <w:tc>
          <w:tcPr/>
          <w:p>
            <w:pPr>
              <w:pStyle w:val="Compact"/>
              <w:jc w:val="left"/>
            </w:pPr>
            <w:r>
              <w:t xml:space="preserve">India 269 firms</w:t>
            </w:r>
          </w:p>
        </w:tc>
        <w:tc>
          <w:tcPr/>
          <w:p>
            <w:pPr>
              <w:pStyle w:val="Compact"/>
              <w:jc w:val="left"/>
            </w:pPr>
            <w:r>
              <w:t xml:space="preserve">India + 35 other</w:t>
            </w:r>
          </w:p>
        </w:tc>
      </w:tr>
      <w:tr>
        <w:tc>
          <w:tcPr/>
          <w:p>
            <w:pPr>
              <w:pStyle w:val="Compact"/>
              <w:jc w:val="left"/>
            </w:pPr>
            <w:r>
              <w:t xml:space="preserve">Theory</w:t>
            </w:r>
          </w:p>
        </w:tc>
        <w:tc>
          <w:tcPr/>
          <w:p>
            <w:pPr>
              <w:pStyle w:val="Compact"/>
              <w:jc w:val="left"/>
            </w:pPr>
            <w:r>
              <w:t xml:space="preserve">Three-stage S-curve in EMNE</w:t>
            </w:r>
          </w:p>
        </w:tc>
        <w:tc>
          <w:tcPr/>
          <w:p>
            <w:pPr>
              <w:pStyle w:val="Compact"/>
              <w:jc w:val="left"/>
            </w:pPr>
            <w:r>
              <w:rPr>
                <w:bCs/>
                <w:b/>
              </w:rPr>
              <w:t xml:space="preserve">Multi-tier including extreme boundary</w:t>
            </w:r>
          </w:p>
        </w:tc>
      </w:tr>
      <w:tr>
        <w:tc>
          <w:tcPr/>
          <w:p>
            <w:pPr>
              <w:pStyle w:val="Compact"/>
              <w:jc w:val="left"/>
            </w:pPr>
            <w:r>
              <w:t xml:space="preserve">Time</w:t>
            </w:r>
          </w:p>
        </w:tc>
        <w:tc>
          <w:tcPr/>
          <w:p>
            <w:pPr>
              <w:pStyle w:val="Compact"/>
              <w:jc w:val="left"/>
            </w:pPr>
            <w:r>
              <w:t xml:space="preserve">1994–2003</w:t>
            </w:r>
          </w:p>
        </w:tc>
        <w:tc>
          <w:tcPr/>
          <w:p>
            <w:pPr>
              <w:pStyle w:val="Compact"/>
              <w:jc w:val="left"/>
            </w:pPr>
            <w:r>
              <w:t xml:space="preserve">1982–2026</w:t>
            </w:r>
          </w:p>
        </w:tc>
      </w:tr>
    </w:tbl>
    <w:bookmarkEnd w:id="32"/>
    <w:bookmarkStart w:id="33" w:name="X8fca58f7723a3dbcbf8f6aa696828d8a2af4cef"/>
    <w:p>
      <w:pPr>
        <w:pStyle w:val="Heading2"/>
      </w:pPr>
      <w:r>
        <w:t xml:space="preserve">3.3 Hitt, Hoskisson, &amp; Kim (1997) —</w:t>
      </w:r>
      <w:r>
        <w:t xml:space="preserve"> </w:t>
      </w:r>
      <w:r>
        <w:rPr>
          <w:iCs/>
          <w:i/>
        </w:rPr>
        <w:t xml:space="preserve">Academy of Management Journal</w:t>
      </w:r>
    </w:p>
    <w:p>
      <w:pPr>
        <w:pStyle w:val="FirstParagraph"/>
      </w:pPr>
      <w:r>
        <w:rPr>
          <w:bCs/>
          <w:b/>
        </w:rPr>
        <w:t xml:space="preserve">Công trình nền tảng về quan hệ chữ U ngược</w:t>
      </w:r>
      <w:r>
        <w:t xml:space="preserve"> </w:t>
      </w:r>
      <w:r>
        <w:t xml:space="preserve">(doanh nghiệp Hoa Kỳ). Nghiên cứu sinh kế thừa khung này và</w:t>
      </w:r>
      <w:r>
        <w:t xml:space="preserve"> </w:t>
      </w:r>
      <w:r>
        <w:rPr>
          <w:bCs/>
          <w:b/>
        </w:rPr>
        <w:t xml:space="preserve">kiểm định các điều kiện biên</w:t>
      </w:r>
      <w:r>
        <w:t xml:space="preserve"> </w:t>
      </w:r>
      <w:r>
        <w:t xml:space="preserve">trong bối cảnh châu Á và Thái Bình Dương.</w:t>
      </w:r>
    </w:p>
    <w:bookmarkEnd w:id="33"/>
    <w:bookmarkStart w:id="34" w:name="Xbf131882a45ad82a66259166123d8702a601232"/>
    <w:p>
      <w:pPr>
        <w:pStyle w:val="Heading2"/>
      </w:pPr>
      <w:r>
        <w:t xml:space="preserve">3.4 Verbeke &amp; Brugman (2018) —</w:t>
      </w:r>
      <w:r>
        <w:t xml:space="preserve"> </w:t>
      </w:r>
      <w:r>
        <w:rPr>
          <w:iCs/>
          <w:i/>
        </w:rPr>
        <w:t xml:space="preserve">Journal of International Business Studies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Verbeke &amp; Brugman (2018)</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23,000+ USA observations</w:t>
            </w:r>
          </w:p>
        </w:tc>
        <w:tc>
          <w:tcPr/>
          <w:p>
            <w:pPr>
              <w:pStyle w:val="Compact"/>
              <w:jc w:val="left"/>
            </w:pPr>
            <w:r>
              <w:t xml:space="preserve">30,000+ Asian-Pacific</w:t>
            </w:r>
          </w:p>
        </w:tc>
      </w:tr>
      <w:tr>
        <w:tc>
          <w:tcPr/>
          <w:p>
            <w:pPr>
              <w:pStyle w:val="Compact"/>
              <w:jc w:val="left"/>
            </w:pPr>
            <w:r>
              <w:t xml:space="preserve">Method</w:t>
            </w:r>
          </w:p>
        </w:tc>
        <w:tc>
          <w:tcPr/>
          <w:p>
            <w:pPr>
              <w:pStyle w:val="Compact"/>
              <w:jc w:val="left"/>
            </w:pPr>
            <w:r>
              <w:t xml:space="preserve">Propensity score</w:t>
            </w:r>
          </w:p>
        </w:tc>
        <w:tc>
          <w:tcPr/>
          <w:p>
            <w:pPr>
              <w:pStyle w:val="Compact"/>
              <w:jc w:val="left"/>
            </w:pPr>
            <w:r>
              <w:t xml:space="preserve">OLS + two-part model + meta-analysis</w:t>
            </w:r>
          </w:p>
        </w:tc>
      </w:tr>
      <w:tr>
        <w:tc>
          <w:tcPr/>
          <w:p>
            <w:pPr>
              <w:pStyle w:val="Compact"/>
              <w:jc w:val="left"/>
            </w:pPr>
            <w:r>
              <w:t xml:space="preserve">Finding</w:t>
            </w:r>
          </w:p>
        </w:tc>
        <w:tc>
          <w:tcPr/>
          <w:p>
            <w:pPr>
              <w:pStyle w:val="Compact"/>
              <w:jc w:val="left"/>
            </w:pPr>
            <w:r>
              <w:t xml:space="preserve">Mostly negative DOI-FP</w:t>
            </w:r>
          </w:p>
        </w:tc>
        <w:tc>
          <w:tcPr/>
          <w:p>
            <w:pPr>
              <w:pStyle w:val="Compact"/>
              <w:jc w:val="left"/>
            </w:pPr>
            <w:r>
              <w:rPr>
                <w:bCs/>
                <w:b/>
              </w:rPr>
              <w:t xml:space="preserve">Sign-conditional on institutional regime</w:t>
            </w:r>
          </w:p>
        </w:tc>
      </w:tr>
    </w:tbl>
    <w:p>
      <w:pPr>
        <w:pStyle w:val="BodyText"/>
      </w:pPr>
      <w:r>
        <w:rPr>
          <w:bCs/>
          <w:b/>
        </w:rPr>
        <w:t xml:space="preserve">Điểm kế thừa</w:t>
      </w:r>
      <w:r>
        <w:t xml:space="preserve">: Verbeke đặt nghi vấn về quan hệ dương giữa mức độ quốc tế hóa và hiệu quả. Nghiên cứu sinh</w:t>
      </w:r>
      <w:r>
        <w:t xml:space="preserve"> </w:t>
      </w:r>
      <w:r>
        <w:rPr>
          <w:bCs/>
          <w:b/>
        </w:rPr>
        <w:t xml:space="preserve">giải thích sự dị biệt</w:t>
      </w:r>
      <w:r>
        <w:t xml:space="preserve"> </w:t>
      </w:r>
      <w:r>
        <w:t xml:space="preserve">vốn tạo ra cả kết quả dương lẫn âm dọc theo gradient thể chế.</w:t>
      </w:r>
    </w:p>
    <w:bookmarkEnd w:id="34"/>
    <w:bookmarkEnd w:id="35"/>
    <w:bookmarkStart w:id="38" w:name="so-sánh-với-các-luận-án-ở-châu-á"/>
    <w:p>
      <w:pPr>
        <w:pStyle w:val="Heading1"/>
      </w:pPr>
      <w:r>
        <w:t xml:space="preserve">4. So sánh với các luận án ở châu Á</w:t>
      </w:r>
    </w:p>
    <w:p>
      <w:pPr>
        <w:pStyle w:val="FirstParagraph"/>
      </w:pPr>
      <w:r>
        <w:t xml:space="preserve">Kết quả tra cứu trong các kho ProQuest Dissertations, JIBS và AMJ với từ khóa</w:t>
      </w:r>
      <w:r>
        <w:t xml:space="preserve"> </w:t>
      </w:r>
      <w:r>
        <w:t xml:space="preserve">“</w:t>
      </w:r>
      <w:r>
        <w:t xml:space="preserve">internationalization performance Asia dissertation</w:t>
      </w:r>
      <w:r>
        <w:t xml:space="preserve">”</w:t>
      </w:r>
      <w:r>
        <w:t xml:space="preserve">:</w:t>
      </w:r>
    </w:p>
    <w:bookmarkStart w:id="36" w:name="X8e528244a842d086bcf91cedf130c77b25df79d"/>
    <w:p>
      <w:pPr>
        <w:pStyle w:val="Heading2"/>
      </w:pPr>
      <w:r>
        <w:t xml:space="preserve">4.1 Luận án châu Á cùng chủ đề — khuôn mẫu điển hình</w:t>
      </w:r>
    </w:p>
    <w:p>
      <w:pPr>
        <w:numPr>
          <w:ilvl w:val="0"/>
          <w:numId w:val="1002"/>
        </w:numPr>
        <w:pStyle w:val="Compact"/>
      </w:pPr>
      <w:r>
        <w:rPr>
          <w:bCs/>
          <w:b/>
        </w:rPr>
        <w:t xml:space="preserve">Khuôn mẫu</w:t>
      </w:r>
      <w:r>
        <w:t xml:space="preserve">: tập trung 1 quốc gia (Trung Quốc/Hàn Quốc/Đài Loan), 1–3 bài báo, một phương pháp duy nhất</w:t>
      </w:r>
    </w:p>
    <w:p>
      <w:pPr>
        <w:numPr>
          <w:ilvl w:val="0"/>
          <w:numId w:val="1002"/>
        </w:numPr>
        <w:pStyle w:val="Compact"/>
      </w:pPr>
      <w:r>
        <w:rPr>
          <w:bCs/>
          <w:b/>
        </w:rPr>
        <w:t xml:space="preserve">Quy mô mẫu</w:t>
      </w:r>
      <w:r>
        <w:t xml:space="preserve">: 100–1,500 doanh nghiệp</w:t>
      </w:r>
    </w:p>
    <w:p>
      <w:pPr>
        <w:numPr>
          <w:ilvl w:val="0"/>
          <w:numId w:val="1002"/>
        </w:numPr>
        <w:pStyle w:val="Compact"/>
      </w:pPr>
      <w:r>
        <w:rPr>
          <w:bCs/>
          <w:b/>
        </w:rPr>
        <w:t xml:space="preserve">Lý thuyết</w:t>
      </w:r>
      <w:r>
        <w:t xml:space="preserve">: 1–2 khung (lý thuyết dựa trên nguồn lực hoặc lý thuyết thể chế)</w:t>
      </w:r>
    </w:p>
    <w:p>
      <w:pPr>
        <w:numPr>
          <w:ilvl w:val="0"/>
          <w:numId w:val="1002"/>
        </w:numPr>
        <w:pStyle w:val="Compact"/>
      </w:pPr>
      <w:r>
        <w:rPr>
          <w:bCs/>
          <w:b/>
        </w:rPr>
        <w:t xml:space="preserve">Đóng góp</w:t>
      </w:r>
      <w:r>
        <w:t xml:space="preserve">: phát hiện đặc thù theo quốc gia</w:t>
      </w:r>
    </w:p>
    <w:bookmarkEnd w:id="36"/>
    <w:bookmarkStart w:id="37" w:name="X86dfb7786b8e0302f5a3a2fa26048a238ebbebd"/>
    <w:p>
      <w:pPr>
        <w:pStyle w:val="Heading2"/>
      </w:pPr>
      <w:r>
        <w:t xml:space="preserve">4.2 Điểm khác biệt của luận án nghiên cứu sinh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Dimension</w:t>
            </w:r>
          </w:p>
        </w:tc>
        <w:tc>
          <w:tcPr/>
          <w:p>
            <w:pPr>
              <w:pStyle w:val="Compact"/>
              <w:jc w:val="left"/>
            </w:pPr>
            <w:r>
              <w:t xml:space="preserve">Typical Asian dissertation</w:t>
            </w:r>
          </w:p>
        </w:tc>
        <w:tc>
          <w:tcPr/>
          <w:p>
            <w:pPr>
              <w:pStyle w:val="Compact"/>
              <w:jc w:val="left"/>
            </w:pPr>
            <w:r>
              <w:t xml:space="preserve">NCS dissertation</w:t>
            </w:r>
          </w:p>
        </w:tc>
      </w:tr>
      <w:tr>
        <w:tc>
          <w:tcPr/>
          <w:p>
            <w:pPr>
              <w:pStyle w:val="Compact"/>
              <w:jc w:val="left"/>
            </w:pPr>
            <w:r>
              <w:rPr>
                <w:bCs/>
                <w:b/>
              </w:rPr>
              <w:t xml:space="preserve"># papers</w:t>
            </w:r>
          </w:p>
        </w:tc>
        <w:tc>
          <w:tcPr/>
          <w:p>
            <w:pPr>
              <w:pStyle w:val="Compact"/>
              <w:jc w:val="left"/>
            </w:pPr>
            <w:r>
              <w:t xml:space="preserve">1–3</w:t>
            </w:r>
          </w:p>
        </w:tc>
        <w:tc>
          <w:tcPr/>
          <w:p>
            <w:pPr>
              <w:pStyle w:val="Compact"/>
              <w:jc w:val="left"/>
            </w:pPr>
            <w:r>
              <w:rPr>
                <w:bCs/>
                <w:b/>
              </w:rPr>
              <w:t xml:space="preserve">8 (P1–P8)</w:t>
            </w:r>
          </w:p>
        </w:tc>
      </w:tr>
      <w:tr>
        <w:tc>
          <w:tcPr/>
          <w:p>
            <w:pPr>
              <w:pStyle w:val="Compact"/>
              <w:jc w:val="left"/>
            </w:pPr>
            <w:r>
              <w:rPr>
                <w:bCs/>
                <w:b/>
              </w:rPr>
              <w:t xml:space="preserve"># countries</w:t>
            </w:r>
          </w:p>
        </w:tc>
        <w:tc>
          <w:tcPr/>
          <w:p>
            <w:pPr>
              <w:pStyle w:val="Compact"/>
              <w:jc w:val="left"/>
            </w:pPr>
            <w:r>
              <w:t xml:space="preserve">1 (Asian focus)</w:t>
            </w:r>
          </w:p>
        </w:tc>
        <w:tc>
          <w:tcPr/>
          <w:p>
            <w:pPr>
              <w:pStyle w:val="Compact"/>
              <w:jc w:val="left"/>
            </w:pPr>
            <w:r>
              <w:rPr>
                <w:bCs/>
                <w:b/>
              </w:rPr>
              <w:t xml:space="preserve">47–49</w:t>
            </w:r>
          </w:p>
        </w:tc>
      </w:tr>
      <w:tr>
        <w:tc>
          <w:tcPr/>
          <w:p>
            <w:pPr>
              <w:pStyle w:val="Compact"/>
              <w:jc w:val="left"/>
            </w:pPr>
            <w:r>
              <w:rPr>
                <w:bCs/>
                <w:b/>
              </w:rPr>
              <w:t xml:space="preserve">Time span</w:t>
            </w:r>
          </w:p>
        </w:tc>
        <w:tc>
          <w:tcPr/>
          <w:p>
            <w:pPr>
              <w:pStyle w:val="Compact"/>
              <w:jc w:val="left"/>
            </w:pPr>
            <w:r>
              <w:t xml:space="preserve">5–10 years</w:t>
            </w:r>
          </w:p>
        </w:tc>
        <w:tc>
          <w:tcPr/>
          <w:p>
            <w:pPr>
              <w:pStyle w:val="Compact"/>
              <w:jc w:val="left"/>
            </w:pPr>
            <w:r>
              <w:rPr>
                <w:bCs/>
                <w:b/>
              </w:rPr>
              <w:t xml:space="preserve">1982–2026 (44 years)</w:t>
            </w:r>
          </w:p>
        </w:tc>
      </w:tr>
      <w:tr>
        <w:tc>
          <w:tcPr/>
          <w:p>
            <w:pPr>
              <w:pStyle w:val="Compact"/>
              <w:jc w:val="left"/>
            </w:pPr>
            <w:r>
              <w:rPr>
                <w:bCs/>
                <w:b/>
              </w:rPr>
              <w:t xml:space="preserve">Method</w:t>
            </w:r>
          </w:p>
        </w:tc>
        <w:tc>
          <w:tcPr/>
          <w:p>
            <w:pPr>
              <w:pStyle w:val="Compact"/>
              <w:jc w:val="left"/>
            </w:pPr>
            <w:r>
              <w:t xml:space="preserve">Single</w:t>
            </w:r>
          </w:p>
        </w:tc>
        <w:tc>
          <w:tcPr/>
          <w:p>
            <w:pPr>
              <w:pStyle w:val="Compact"/>
              <w:jc w:val="left"/>
            </w:pPr>
            <w:r>
              <w:rPr>
                <w:bCs/>
                <w:b/>
              </w:rPr>
              <w:t xml:space="preserve">Mixed: meta + multi-country + boundary case</w:t>
            </w:r>
          </w:p>
        </w:tc>
      </w:tr>
      <w:tr>
        <w:tc>
          <w:tcPr/>
          <w:p>
            <w:pPr>
              <w:pStyle w:val="Compact"/>
              <w:jc w:val="left"/>
            </w:pPr>
            <w:r>
              <w:rPr>
                <w:bCs/>
                <w:b/>
              </w:rPr>
              <w:t xml:space="preserve">Theory</w:t>
            </w:r>
          </w:p>
        </w:tc>
        <w:tc>
          <w:tcPr/>
          <w:p>
            <w:pPr>
              <w:pStyle w:val="Compact"/>
              <w:jc w:val="left"/>
            </w:pPr>
            <w:r>
              <w:t xml:space="preserve">1–2 frameworks</w:t>
            </w:r>
          </w:p>
        </w:tc>
        <w:tc>
          <w:tcPr/>
          <w:p>
            <w:pPr>
              <w:pStyle w:val="Compact"/>
              <w:jc w:val="left"/>
            </w:pPr>
            <w:r>
              <w:rPr>
                <w:bCs/>
                <w:b/>
              </w:rPr>
              <w:t xml:space="preserve">4 layers + digital lens</w:t>
            </w:r>
          </w:p>
        </w:tc>
      </w:tr>
      <w:tr>
        <w:tc>
          <w:tcPr/>
          <w:p>
            <w:pPr>
              <w:pStyle w:val="Compact"/>
              <w:jc w:val="left"/>
            </w:pPr>
            <w:r>
              <w:rPr>
                <w:bCs/>
                <w:b/>
              </w:rPr>
              <w:t xml:space="preserve">Boundary cases</w:t>
            </w:r>
          </w:p>
        </w:tc>
        <w:tc>
          <w:tcPr/>
          <w:p>
            <w:pPr>
              <w:pStyle w:val="Compact"/>
              <w:jc w:val="left"/>
            </w:pPr>
            <w:r>
              <w:t xml:space="preserve">Hiếm có</w:t>
            </w:r>
          </w:p>
        </w:tc>
        <w:tc>
          <w:tcPr/>
          <w:p>
            <w:pPr>
              <w:pStyle w:val="Compact"/>
              <w:jc w:val="left"/>
            </w:pPr>
            <w:r>
              <w:rPr>
                <w:bCs/>
                <w:b/>
              </w:rPr>
              <w:t xml:space="preserve">Pacific SIDS (Forced Penalty)</w:t>
            </w:r>
          </w:p>
        </w:tc>
      </w:tr>
      <w:tr>
        <w:tc>
          <w:tcPr/>
          <w:p>
            <w:pPr>
              <w:pStyle w:val="Compact"/>
              <w:jc w:val="left"/>
            </w:pPr>
            <w:r>
              <w:rPr>
                <w:bCs/>
                <w:b/>
              </w:rPr>
              <w:t xml:space="preserve">Publication track</w:t>
            </w:r>
          </w:p>
        </w:tc>
        <w:tc>
          <w:tcPr/>
          <w:p>
            <w:pPr>
              <w:pStyle w:val="Compact"/>
              <w:jc w:val="left"/>
            </w:pPr>
            <w:r>
              <w:t xml:space="preserve">0–1 paper công bố</w:t>
            </w:r>
          </w:p>
        </w:tc>
        <w:tc>
          <w:tcPr/>
          <w:p>
            <w:pPr>
              <w:pStyle w:val="Compact"/>
              <w:jc w:val="left"/>
            </w:pPr>
            <w:r>
              <w:rPr>
                <w:bCs/>
                <w:b/>
              </w:rPr>
              <w:t xml:space="preserve">2 đã công bố + 1 ICBEF proceedings + 5 manuscripts</w:t>
            </w:r>
          </w:p>
        </w:tc>
      </w:tr>
    </w:tbl>
    <w:bookmarkEnd w:id="37"/>
    <w:bookmarkEnd w:id="38"/>
    <w:bookmarkStart w:id="39" w:name="luận-án-việt-nam-cùng-chủ-đề"/>
    <w:p>
      <w:pPr>
        <w:pStyle w:val="Heading1"/>
      </w:pPr>
      <w:r>
        <w:t xml:space="preserve">5. Luận án Việt Nam cùng chủ đề</w:t>
      </w:r>
    </w:p>
    <w:p>
      <w:pPr>
        <w:pStyle w:val="FirstParagraph"/>
      </w:pPr>
      <w:r>
        <w:t xml:space="preserve">Kết quả tra cứu trong cơ sở dữ liệu luận án của các trường CTU, NEU, UEH và Đại học Ngoại thương:</w:t>
      </w:r>
    </w:p>
    <w:p>
      <w:pPr>
        <w:numPr>
          <w:ilvl w:val="0"/>
          <w:numId w:val="1003"/>
        </w:numPr>
        <w:pStyle w:val="Compact"/>
      </w:pPr>
      <w:r>
        <w:t xml:space="preserve">Khuôn mẫu: tập trung 1 ngành hoặc 1 vùng (ví dụ:</w:t>
      </w:r>
      <w:r>
        <w:t xml:space="preserve"> </w:t>
      </w:r>
      <w:r>
        <w:t xml:space="preserve">“</w:t>
      </w:r>
      <w:r>
        <w:t xml:space="preserve">Quốc tế hóa và hiệu quả doanh nghiệp ngành dệt may Việt Nam</w:t>
      </w:r>
      <w:r>
        <w:t xml:space="preserve">”</w:t>
      </w:r>
      <w:r>
        <w:t xml:space="preserve">)</w:t>
      </w:r>
    </w:p>
    <w:p>
      <w:pPr>
        <w:numPr>
          <w:ilvl w:val="0"/>
          <w:numId w:val="1003"/>
        </w:numPr>
        <w:pStyle w:val="Compact"/>
      </w:pPr>
      <w:r>
        <w:t xml:space="preserve">Phương pháp: chủ yếu là dữ liệu bảng đơn quốc gia</w:t>
      </w:r>
    </w:p>
    <w:p>
      <w:pPr>
        <w:numPr>
          <w:ilvl w:val="0"/>
          <w:numId w:val="1003"/>
        </w:numPr>
        <w:pStyle w:val="Compact"/>
      </w:pPr>
      <w:r>
        <w:t xml:space="preserve">Lý thuyết: chủ yếu lý thuyết dựa trên nguồn lực hoặc Uppsala, không tích hợp</w:t>
      </w:r>
    </w:p>
    <w:p>
      <w:pPr>
        <w:numPr>
          <w:ilvl w:val="0"/>
          <w:numId w:val="1003"/>
        </w:numPr>
        <w:pStyle w:val="Compact"/>
      </w:pPr>
      <w:r>
        <w:t xml:space="preserve">Pacific/SIDS: không có luận án nào</w:t>
      </w:r>
    </w:p>
    <w:p>
      <w:pPr>
        <w:pStyle w:val="FirstParagraph"/>
      </w:pPr>
      <w:r>
        <w:rPr>
          <w:bCs/>
          <w:b/>
        </w:rPr>
        <w:t xml:space="preserve">Điểm khác biệt của luận án nghiên cứu sinh</w:t>
      </w:r>
      <w:r>
        <w:t xml:space="preserve">:</w:t>
      </w:r>
      <w:r>
        <w:t xml:space="preserve"> </w:t>
      </w:r>
      <w:r>
        <w:t xml:space="preserve">- Lần đầu tiên nghiên cứu</w:t>
      </w:r>
      <w:r>
        <w:t xml:space="preserve"> </w:t>
      </w:r>
      <w:r>
        <w:rPr>
          <w:bCs/>
          <w:b/>
        </w:rPr>
        <w:t xml:space="preserve">đa quốc gia châu Á và Thái Bình Dương</w:t>
      </w:r>
      <w:r>
        <w:t xml:space="preserve"> </w:t>
      </w:r>
      <w:r>
        <w:t xml:space="preserve">trong một luận án tiến sĩ tại Việt Nam</w:t>
      </w:r>
      <w:r>
        <w:t xml:space="preserve"> </w:t>
      </w:r>
      <w:r>
        <w:t xml:space="preserve">- Lần đầu tiên là</w:t>
      </w:r>
      <w:r>
        <w:t xml:space="preserve"> </w:t>
      </w:r>
      <w:r>
        <w:rPr>
          <w:bCs/>
          <w:b/>
        </w:rPr>
        <w:t xml:space="preserve">luận án tích lũy gồm 8 bài báo</w:t>
      </w:r>
      <w:r>
        <w:t xml:space="preserve">, trong đó 2 bài đã công bố</w:t>
      </w:r>
      <w:r>
        <w:t xml:space="preserve"> </w:t>
      </w:r>
      <w:r>
        <w:t xml:space="preserve">- Lần đầu tiên</w:t>
      </w:r>
      <w:r>
        <w:t xml:space="preserve"> </w:t>
      </w:r>
      <w:r>
        <w:rPr>
          <w:bCs/>
          <w:b/>
        </w:rPr>
        <w:t xml:space="preserve">tích hợp khung 4 tầng cùng lăng kính năng lực số</w:t>
      </w:r>
      <w:r>
        <w:t xml:space="preserve"> </w:t>
      </w:r>
      <w:r>
        <w:t xml:space="preserve">- Lần đầu tiên có một</w:t>
      </w:r>
      <w:r>
        <w:t xml:space="preserve"> </w:t>
      </w:r>
      <w:r>
        <w:rPr>
          <w:bCs/>
          <w:b/>
        </w:rPr>
        <w:t xml:space="preserve">đóng góp lý thuyết được định danh</w:t>
      </w:r>
      <w:r>
        <w:t xml:space="preserve"> </w:t>
      </w:r>
      <w:r>
        <w:t xml:space="preserve">(gánh nặng quốc tế hóa bắt buộc — Forced Internationalization Penalty)</w:t>
      </w:r>
    </w:p>
    <w:bookmarkEnd w:id="39"/>
    <w:bookmarkStart w:id="40" w:name="X01582b53cfc5cf7b42e4fbf75992fb553899db0"/>
    <w:p>
      <w:pPr>
        <w:pStyle w:val="Heading1"/>
      </w:pPr>
      <w:r>
        <w:t xml:space="preserve">6. Ma trận khác biệt hóa — luận án của nghiên cứu sinh so với 7 mốc tham chiếu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Dimension</w:t>
            </w:r>
          </w:p>
        </w:tc>
        <w:tc>
          <w:tcPr/>
          <w:p>
            <w:pPr>
              <w:pStyle w:val="Compact"/>
              <w:jc w:val="left"/>
            </w:pPr>
            <w:r>
              <w:t xml:space="preserve">Marano (2016)</w:t>
            </w:r>
          </w:p>
        </w:tc>
        <w:tc>
          <w:tcPr/>
          <w:p>
            <w:pPr>
              <w:pStyle w:val="Compact"/>
              <w:jc w:val="left"/>
            </w:pPr>
            <w:r>
              <w:t xml:space="preserve">Wu (2022)</w:t>
            </w:r>
          </w:p>
        </w:tc>
        <w:tc>
          <w:tcPr/>
          <w:p>
            <w:pPr>
              <w:pStyle w:val="Compact"/>
              <w:jc w:val="left"/>
            </w:pPr>
            <w:r>
              <w:t xml:space="preserve">Kirca (2012)</w:t>
            </w:r>
          </w:p>
        </w:tc>
        <w:tc>
          <w:tcPr/>
          <w:p>
            <w:pPr>
              <w:pStyle w:val="Compact"/>
              <w:jc w:val="left"/>
            </w:pPr>
            <w:r>
              <w:t xml:space="preserve">Bhandari (2023)</w:t>
            </w:r>
          </w:p>
        </w:tc>
        <w:tc>
          <w:tcPr/>
          <w:p>
            <w:pPr>
              <w:pStyle w:val="Compact"/>
              <w:jc w:val="left"/>
            </w:pPr>
            <w:r>
              <w:t xml:space="preserve">Cuervo (2018)</w:t>
            </w:r>
          </w:p>
        </w:tc>
        <w:tc>
          <w:tcPr/>
          <w:p>
            <w:pPr>
              <w:pStyle w:val="Compact"/>
              <w:jc w:val="left"/>
            </w:pPr>
            <w:r>
              <w:t xml:space="preserve">Lu&amp;Beamish (2004)</w:t>
            </w:r>
          </w:p>
        </w:tc>
        <w:tc>
          <w:tcPr/>
          <w:p>
            <w:pPr>
              <w:pStyle w:val="Compact"/>
              <w:jc w:val="left"/>
            </w:pPr>
            <w:r>
              <w:t xml:space="preserve">Vietnamese typical</w:t>
            </w:r>
          </w:p>
        </w:tc>
        <w:tc>
          <w:tcPr/>
          <w:p>
            <w:pPr>
              <w:pStyle w:val="Compact"/>
              <w:jc w:val="left"/>
            </w:pPr>
            <w:r>
              <w:rPr>
                <w:bCs/>
                <w:b/>
              </w:rPr>
              <w:t xml:space="preserve">NCS</w:t>
            </w:r>
          </w:p>
        </w:tc>
      </w:tr>
      <w:tr>
        <w:tc>
          <w:tcPr/>
          <w:p>
            <w:pPr>
              <w:pStyle w:val="Compact"/>
              <w:jc w:val="left"/>
            </w:pPr>
            <w:r>
              <w:rPr>
                <w:bCs/>
                <w:b/>
              </w:rPr>
              <w:t xml:space="preserve"># papers in program</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4</w:t>
            </w:r>
          </w:p>
        </w:tc>
        <w:tc>
          <w:tcPr/>
          <w:p>
            <w:pPr>
              <w:pStyle w:val="Compact"/>
              <w:jc w:val="left"/>
            </w:pPr>
            <w:r>
              <w:t xml:space="preserve">1–3</w:t>
            </w:r>
          </w:p>
        </w:tc>
        <w:tc>
          <w:tcPr/>
          <w:p>
            <w:pPr>
              <w:pStyle w:val="Compact"/>
              <w:jc w:val="left"/>
            </w:pPr>
            <w:r>
              <w:rPr>
                <w:bCs/>
                <w:b/>
              </w:rPr>
              <w:t xml:space="preserve">8</w:t>
            </w:r>
          </w:p>
        </w:tc>
      </w:tr>
      <w:tr>
        <w:tc>
          <w:tcPr/>
          <w:p>
            <w:pPr>
              <w:pStyle w:val="Compact"/>
              <w:jc w:val="left"/>
            </w:pPr>
            <w:r>
              <w:rPr>
                <w:bCs/>
                <w:b/>
              </w:rPr>
              <w:t xml:space="preserve"># countries</w:t>
            </w:r>
          </w:p>
        </w:tc>
        <w:tc>
          <w:tcPr/>
          <w:p>
            <w:pPr>
              <w:pStyle w:val="Compact"/>
              <w:jc w:val="left"/>
            </w:pPr>
            <w:r>
              <w:t xml:space="preserve">32</w:t>
            </w:r>
          </w:p>
        </w:tc>
        <w:tc>
          <w:tcPr/>
          <w:p>
            <w:pPr>
              <w:pStyle w:val="Compact"/>
              <w:jc w:val="left"/>
            </w:pPr>
            <w:r>
              <w:t xml:space="preserve">Multi-EMNE</w:t>
            </w:r>
          </w:p>
        </w:tc>
        <w:tc>
          <w:tcPr/>
          <w:p>
            <w:pPr>
              <w:pStyle w:val="Compact"/>
              <w:jc w:val="left"/>
            </w:pPr>
            <w:r>
              <w:t xml:space="preserve">Multi</w:t>
            </w:r>
          </w:p>
        </w:tc>
        <w:tc>
          <w:tcPr/>
          <w:p>
            <w:pPr>
              <w:pStyle w:val="Compact"/>
              <w:jc w:val="left"/>
            </w:pPr>
            <w:r>
              <w:t xml:space="preserve">1 (US)</w:t>
            </w:r>
          </w:p>
        </w:tc>
        <w:tc>
          <w:tcPr/>
          <w:p>
            <w:pPr>
              <w:pStyle w:val="Compact"/>
              <w:jc w:val="left"/>
            </w:pPr>
            <w:r>
              <w:t xml:space="preserve">1 (Colombia)</w:t>
            </w:r>
          </w:p>
        </w:tc>
        <w:tc>
          <w:tcPr/>
          <w:p>
            <w:pPr>
              <w:pStyle w:val="Compact"/>
              <w:jc w:val="left"/>
            </w:pPr>
            <w:r>
              <w:t xml:space="preserve">1 (Japan)</w:t>
            </w:r>
          </w:p>
        </w:tc>
        <w:tc>
          <w:tcPr/>
          <w:p>
            <w:pPr>
              <w:pStyle w:val="Compact"/>
              <w:jc w:val="left"/>
            </w:pPr>
            <w:r>
              <w:t xml:space="preserve">1 (VN)</w:t>
            </w:r>
          </w:p>
        </w:tc>
        <w:tc>
          <w:tcPr/>
          <w:p>
            <w:pPr>
              <w:pStyle w:val="Compact"/>
              <w:jc w:val="left"/>
            </w:pPr>
            <w:r>
              <w:rPr>
                <w:bCs/>
                <w:b/>
              </w:rPr>
              <w:t xml:space="preserve">47–49</w:t>
            </w:r>
          </w:p>
        </w:tc>
      </w:tr>
      <w:tr>
        <w:tc>
          <w:tcPr/>
          <w:p>
            <w:pPr>
              <w:pStyle w:val="Compact"/>
              <w:jc w:val="left"/>
            </w:pPr>
            <w:r>
              <w:rPr>
                <w:bCs/>
                <w:b/>
              </w:rPr>
              <w:t xml:space="preserve">Pacific SIDS coverage</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rPr>
                <w:bCs/>
                <w:b/>
              </w:rPr>
              <w:t xml:space="preserve">8 Pacific countries</w:t>
            </w:r>
          </w:p>
        </w:tc>
      </w:tr>
      <w:tr>
        <w:tc>
          <w:tcPr/>
          <w:p>
            <w:pPr>
              <w:pStyle w:val="Compact"/>
              <w:jc w:val="left"/>
            </w:pPr>
            <w:r>
              <w:rPr>
                <w:bCs/>
                <w:b/>
              </w:rPr>
              <w:t xml:space="preserve">TCI/DAI separation</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Digital capability composite</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rPr>
                <w:bCs/>
                <w:b/>
              </w:rPr>
              <w:t xml:space="preserve">Yes — separated (Bharadwaj 2013; Verhoef 2021; Coltman 2008)</w:t>
            </w:r>
          </w:p>
        </w:tc>
      </w:tr>
      <w:tr>
        <w:tc>
          <w:tcPr/>
          <w:p>
            <w:pPr>
              <w:pStyle w:val="Compact"/>
              <w:jc w:val="left"/>
            </w:pPr>
            <w:r>
              <w:rPr>
                <w:bCs/>
                <w:b/>
              </w:rPr>
              <w:t xml:space="preserve">Institutional gradient</w:t>
            </w:r>
          </w:p>
        </w:tc>
        <w:tc>
          <w:tcPr/>
          <w:p>
            <w:pPr>
              <w:pStyle w:val="Compact"/>
              <w:jc w:val="left"/>
            </w:pPr>
            <w:r>
              <w:t xml:space="preserve">Yếu</w:t>
            </w:r>
          </w:p>
        </w:tc>
        <w:tc>
          <w:tcPr/>
          <w:p>
            <w:pPr>
              <w:pStyle w:val="Compact"/>
              <w:jc w:val="left"/>
            </w:pPr>
            <w:r>
              <w:t xml:space="preserve">Yếu</w:t>
            </w:r>
          </w:p>
        </w:tc>
        <w:tc>
          <w:tcPr/>
          <w:p>
            <w:pPr>
              <w:pStyle w:val="Compact"/>
              <w:jc w:val="left"/>
            </w:pPr>
            <w:r>
              <w:t xml:space="preserve">Yếu</w:t>
            </w:r>
          </w:p>
        </w:tc>
        <w:tc>
          <w:tcPr/>
          <w:p>
            <w:pPr>
              <w:pStyle w:val="Compact"/>
              <w:jc w:val="left"/>
            </w:pPr>
            <w:r>
              <w:t xml:space="preserve">Không</w:t>
            </w:r>
          </w:p>
        </w:tc>
        <w:tc>
          <w:tcPr/>
          <w:p>
            <w:pPr>
              <w:pStyle w:val="Compact"/>
              <w:jc w:val="left"/>
            </w:pPr>
            <w:r>
              <w:t xml:space="preserve">Một biến</w:t>
            </w:r>
          </w:p>
        </w:tc>
        <w:tc>
          <w:tcPr/>
          <w:p>
            <w:pPr>
              <w:pStyle w:val="Compact"/>
              <w:jc w:val="left"/>
            </w:pPr>
            <w:r>
              <w:t xml:space="preserve">Không</w:t>
            </w:r>
          </w:p>
        </w:tc>
        <w:tc>
          <w:tcPr/>
          <w:p>
            <w:pPr>
              <w:pStyle w:val="Compact"/>
              <w:jc w:val="left"/>
            </w:pPr>
            <w:r>
              <w:t xml:space="preserve">Không</w:t>
            </w:r>
          </w:p>
        </w:tc>
        <w:tc>
          <w:tcPr/>
          <w:p>
            <w:pPr>
              <w:pStyle w:val="Compact"/>
              <w:jc w:val="left"/>
            </w:pPr>
            <w:r>
              <w:rPr>
                <w:bCs/>
                <w:b/>
              </w:rPr>
              <w:t xml:space="preserve">Full ICRV Regime I→V (6-regime CD2; 5-regime P3/P6)</w:t>
            </w:r>
          </w:p>
        </w:tc>
      </w:tr>
      <w:tr>
        <w:tc>
          <w:tcPr/>
          <w:p>
            <w:pPr>
              <w:pStyle w:val="Compact"/>
              <w:jc w:val="left"/>
            </w:pPr>
            <w:r>
              <w:rPr>
                <w:bCs/>
                <w:b/>
              </w:rPr>
              <w:t xml:space="preserve">Boundary condition test</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rPr>
                <w:bCs/>
                <w:b/>
              </w:rPr>
              <w:t xml:space="preserve">Forced Penalty</w:t>
            </w:r>
          </w:p>
        </w:tc>
      </w:tr>
      <w:tr>
        <w:tc>
          <w:tcPr/>
          <w:p>
            <w:pPr>
              <w:pStyle w:val="Compact"/>
              <w:jc w:val="left"/>
            </w:pPr>
            <w:r>
              <w:rPr>
                <w:bCs/>
                <w:b/>
              </w:rPr>
              <w:t xml:space="preserve">Multi-method</w:t>
            </w:r>
          </w:p>
        </w:tc>
        <w:tc>
          <w:tcPr/>
          <w:p>
            <w:pPr>
              <w:pStyle w:val="Compact"/>
              <w:jc w:val="left"/>
            </w:pPr>
            <w:r>
              <w:t xml:space="preserve">Single (meta)</w:t>
            </w:r>
          </w:p>
        </w:tc>
        <w:tc>
          <w:tcPr/>
          <w:p>
            <w:pPr>
              <w:pStyle w:val="Compact"/>
              <w:jc w:val="left"/>
            </w:pPr>
            <w:r>
              <w:t xml:space="preserve">Single (meta)</w:t>
            </w:r>
          </w:p>
        </w:tc>
        <w:tc>
          <w:tcPr/>
          <w:p>
            <w:pPr>
              <w:pStyle w:val="Compact"/>
              <w:jc w:val="left"/>
            </w:pPr>
            <w:r>
              <w:t xml:space="preserve">Single (meta)</w:t>
            </w:r>
          </w:p>
        </w:tc>
        <w:tc>
          <w:tcPr/>
          <w:p>
            <w:pPr>
              <w:pStyle w:val="Compact"/>
              <w:jc w:val="left"/>
            </w:pPr>
            <w:r>
              <w:t xml:space="preserve">Single</w:t>
            </w:r>
          </w:p>
        </w:tc>
        <w:tc>
          <w:tcPr/>
          <w:p>
            <w:pPr>
              <w:pStyle w:val="Compact"/>
              <w:jc w:val="left"/>
            </w:pPr>
            <w:r>
              <w:t xml:space="preserve">Single</w:t>
            </w:r>
          </w:p>
        </w:tc>
        <w:tc>
          <w:tcPr/>
          <w:p>
            <w:pPr>
              <w:pStyle w:val="Compact"/>
              <w:jc w:val="left"/>
            </w:pPr>
            <w:r>
              <w:t xml:space="preserve">Single (panel)</w:t>
            </w:r>
          </w:p>
        </w:tc>
        <w:tc>
          <w:tcPr/>
          <w:p>
            <w:pPr>
              <w:pStyle w:val="Compact"/>
              <w:jc w:val="left"/>
            </w:pPr>
            <w:r>
              <w:t xml:space="preserve">Single</w:t>
            </w:r>
          </w:p>
        </w:tc>
        <w:tc>
          <w:tcPr/>
          <w:p>
            <w:pPr>
              <w:pStyle w:val="Compact"/>
              <w:jc w:val="left"/>
            </w:pPr>
            <w:r>
              <w:rPr>
                <w:bCs/>
                <w:b/>
              </w:rPr>
              <w:t xml:space="preserve">Mixed (meta + empirical + boundary)</w:t>
            </w:r>
          </w:p>
        </w:tc>
      </w:tr>
      <w:tr>
        <w:tc>
          <w:tcPr/>
          <w:p>
            <w:pPr>
              <w:pStyle w:val="Compact"/>
              <w:jc w:val="left"/>
            </w:pPr>
            <w:r>
              <w:rPr>
                <w:bCs/>
                <w:b/>
              </w:rPr>
              <w:t xml:space="preserve">Time span</w:t>
            </w:r>
          </w:p>
        </w:tc>
        <w:tc>
          <w:tcPr/>
          <w:p>
            <w:pPr>
              <w:pStyle w:val="Compact"/>
              <w:jc w:val="left"/>
            </w:pPr>
            <w:r>
              <w:t xml:space="preserve">40 years</w:t>
            </w:r>
          </w:p>
        </w:tc>
        <w:tc>
          <w:tcPr/>
          <w:p>
            <w:pPr>
              <w:pStyle w:val="Compact"/>
              <w:jc w:val="left"/>
            </w:pPr>
            <w:r>
              <w:t xml:space="preserve">23 years</w:t>
            </w:r>
          </w:p>
        </w:tc>
        <w:tc>
          <w:tcPr/>
          <w:p>
            <w:pPr>
              <w:pStyle w:val="Compact"/>
              <w:jc w:val="left"/>
            </w:pPr>
            <w:r>
              <w:t xml:space="preserve">32 years</w:t>
            </w:r>
          </w:p>
        </w:tc>
        <w:tc>
          <w:tcPr/>
          <w:p>
            <w:pPr>
              <w:pStyle w:val="Compact"/>
              <w:jc w:val="left"/>
            </w:pPr>
            <w:r>
              <w:t xml:space="preserve">21 years</w:t>
            </w:r>
          </w:p>
        </w:tc>
        <w:tc>
          <w:tcPr/>
          <w:p>
            <w:pPr>
              <w:pStyle w:val="Compact"/>
              <w:jc w:val="left"/>
            </w:pPr>
            <w:r>
              <w:t xml:space="preserve">6 years</w:t>
            </w:r>
          </w:p>
        </w:tc>
        <w:tc>
          <w:tcPr/>
          <w:p>
            <w:pPr>
              <w:pStyle w:val="Compact"/>
              <w:jc w:val="left"/>
            </w:pPr>
            <w:r>
              <w:t xml:space="preserve">11 years</w:t>
            </w:r>
          </w:p>
        </w:tc>
        <w:tc>
          <w:tcPr/>
          <w:p>
            <w:pPr>
              <w:pStyle w:val="Compact"/>
              <w:jc w:val="left"/>
            </w:pPr>
            <w:r>
              <w:t xml:space="preserve">5–9 years</w:t>
            </w:r>
          </w:p>
        </w:tc>
        <w:tc>
          <w:tcPr/>
          <w:p>
            <w:pPr>
              <w:pStyle w:val="Compact"/>
              <w:jc w:val="left"/>
            </w:pPr>
            <w:r>
              <w:rPr>
                <w:bCs/>
                <w:b/>
              </w:rPr>
              <w:t xml:space="preserve">44 years (1982–2026)</w:t>
            </w:r>
          </w:p>
        </w:tc>
      </w:tr>
    </w:tbl>
    <w:bookmarkEnd w:id="40"/>
    <w:bookmarkStart w:id="45" w:name="X85dd6b1c221705be2fa5a60182b3887011946ea"/>
    <w:p>
      <w:pPr>
        <w:pStyle w:val="Heading1"/>
      </w:pPr>
      <w:r>
        <w:t xml:space="preserve">7. Các điểm trình bày cho buổi demo với giảng viên hướng dẫn</w:t>
      </w:r>
    </w:p>
    <w:bookmarkStart w:id="41" w:name="vì-sao-luận-án-này-khác-và-có-đóng-góp"/>
    <w:p>
      <w:pPr>
        <w:pStyle w:val="Heading2"/>
      </w:pPr>
      <w:r>
        <w:t xml:space="preserve">7.1</w:t>
      </w:r>
      <w:r>
        <w:t xml:space="preserve"> </w:t>
      </w:r>
      <w:r>
        <w:t xml:space="preserve">“</w:t>
      </w:r>
      <w:r>
        <w:t xml:space="preserve">Vì sao luận án này khác và có đóng góp</w:t>
      </w:r>
      <w:r>
        <w:t xml:space="preserve">”</w:t>
      </w:r>
    </w:p>
    <w:p>
      <w:pPr>
        <w:pStyle w:val="FirstParagraph"/>
      </w:pPr>
      <w:r>
        <w:t xml:space="preserve">Mở đầu bằng một lời dẫn dựa trên hiện tượng:</w:t>
      </w:r>
    </w:p>
    <w:p>
      <w:pPr>
        <w:pStyle w:val="BlockText"/>
      </w:pPr>
      <w:r>
        <w:t xml:space="preserve">“</w:t>
      </w:r>
      <w:r>
        <w:t xml:space="preserve">Trong 50 năm nghiên cứu về quan hệ giữa quốc tế hóa và hiệu quả hoạt động, vẫn còn một khoảng trống cơ bản: chưa ai kiểm định xem</w:t>
      </w:r>
      <w:r>
        <w:t xml:space="preserve"> </w:t>
      </w:r>
      <w:r>
        <w:rPr>
          <w:bCs/>
          <w:b/>
        </w:rPr>
        <w:t xml:space="preserve">quan hệ chữ U ngược là một quy luật phổ quát hay chỉ là một quan hệ có điều kiện</w:t>
      </w:r>
      <w:r>
        <w:t xml:space="preserve">. Luận án này kiểm định điều đó qua một mạch gradient thể chế từ Singapore (chế độ I) đến Pacific SIDS (chế độ cực đoan), và phát hiện rằng chữ U ngược</w:t>
      </w:r>
      <w:r>
        <w:t xml:space="preserve"> </w:t>
      </w:r>
      <w:r>
        <w:rPr>
          <w:bCs/>
          <w:b/>
        </w:rPr>
        <w:t xml:space="preserve">không phổ quát</w:t>
      </w:r>
      <w:r>
        <w:t xml:space="preserve">: nó đảo dấu khi cả 3 điều kiện tiên quyết đều thiếu vắng.</w:t>
      </w:r>
      <w:r>
        <w:t xml:space="preserve">”</w:t>
      </w:r>
    </w:p>
    <w:bookmarkEnd w:id="41"/>
    <w:bookmarkStart w:id="42" w:name="đóng-góp-chính-ở-đâu"/>
    <w:p>
      <w:pPr>
        <w:pStyle w:val="Heading2"/>
      </w:pPr>
      <w:r>
        <w:t xml:space="preserve">7.2</w:t>
      </w:r>
      <w:r>
        <w:t xml:space="preserve"> </w:t>
      </w:r>
      <w:r>
        <w:t xml:space="preserve">“</w:t>
      </w:r>
      <w:r>
        <w:t xml:space="preserve">Đóng góp chính ở đâu</w:t>
      </w:r>
      <w:r>
        <w:t xml:space="preserve">”</w:t>
      </w:r>
    </w:p>
    <w:p>
      <w:pPr>
        <w:pStyle w:val="FirstParagraph"/>
      </w:pPr>
      <w:r>
        <w:t xml:space="preserve">Trục thống nhất của toàn luận án là</w:t>
      </w:r>
      <w:r>
        <w:t xml:space="preserve"> </w:t>
      </w:r>
      <w:r>
        <w:rPr>
          <w:bCs/>
          <w:b/>
        </w:rPr>
        <w:t xml:space="preserve">bản đồ địa hình xuất khẩu chiến lược (strategic export topography)</w:t>
      </w:r>
      <w:r>
        <w:t xml:space="preserve">, trên đó ICRV vận hành như một</w:t>
      </w:r>
      <w:r>
        <w:t xml:space="preserve"> </w:t>
      </w:r>
      <w:r>
        <w:rPr>
          <w:bCs/>
          <w:b/>
        </w:rPr>
        <w:t xml:space="preserve">bộ lọc chi phí giao dịch (transaction cost filter)</w:t>
      </w:r>
      <w:r>
        <w:t xml:space="preserve"> </w:t>
      </w:r>
      <w:r>
        <w:t xml:space="preserve">tương tác với mức độ chấp nhận số: chính trục này gắn kết tám bài báo thành một lập luận liền mạch, từ phá ảo ảnh bằng chứng (P6) đến vẽ bản đồ gradient (P7) và kiểm chứng từng vùng địa hình (P3–P5, P8). Trên nền trục đó, 3 đóng góp chưa từng có trong tài liệu nghiên cứu:</w:t>
      </w:r>
    </w:p>
    <w:p>
      <w:pPr>
        <w:numPr>
          <w:ilvl w:val="0"/>
          <w:numId w:val="1004"/>
        </w:numPr>
        <w:pStyle w:val="Compact"/>
      </w:pPr>
      <w:r>
        <w:rPr>
          <w:bCs/>
          <w:b/>
        </w:rPr>
        <w:t xml:space="preserve">Về lý thuyết</w:t>
      </w:r>
      <w:r>
        <w:t xml:space="preserve">: gánh nặng quốc tế hóa bắt buộc là đóng góp được định danh đầu tiên cho trường hợp biên của quan hệ giữa quốc tế hóa và hiệu quả hoạt động</w:t>
      </w:r>
    </w:p>
    <w:p>
      <w:pPr>
        <w:numPr>
          <w:ilvl w:val="0"/>
          <w:numId w:val="1004"/>
        </w:numPr>
        <w:pStyle w:val="Compact"/>
      </w:pPr>
      <w:r>
        <w:rPr>
          <w:bCs/>
          <w:b/>
        </w:rPr>
        <w:t xml:space="preserve">Về phương pháp</w:t>
      </w:r>
      <w:r>
        <w:t xml:space="preserve">: việc tách bạch TCI với DAI (kế thừa Bharadwaj et al. 2013, Verhoef et al. 2021, Cohen &amp; Levinthal 1990, Lall 1992; thỏa 4 tiêu chí của Coltman et al. 2008) bảo đảm độ thuần khái niệm</w:t>
      </w:r>
    </w:p>
    <w:p>
      <w:pPr>
        <w:numPr>
          <w:ilvl w:val="0"/>
          <w:numId w:val="1004"/>
        </w:numPr>
        <w:pStyle w:val="Compact"/>
      </w:pPr>
      <w:r>
        <w:rPr>
          <w:bCs/>
          <w:b/>
        </w:rPr>
        <w:t xml:space="preserve">Về thực nghiệm</w:t>
      </w:r>
      <w:r>
        <w:t xml:space="preserve">: bằng chứng đa quốc gia đầu tiên cho Pacific SIDS trên dữ liệu WBES (trong 1,745 bài báo, có 0 bài bao quát quan hệ này ở Thái Bình Dương)</w:t>
      </w:r>
    </w:p>
    <w:bookmarkEnd w:id="42"/>
    <w:bookmarkStart w:id="43" w:name="vì-sao-chưa-lo-ngại-về-việc-có-8-bài-báo"/>
    <w:p>
      <w:pPr>
        <w:pStyle w:val="Heading2"/>
      </w:pPr>
      <w:r>
        <w:t xml:space="preserve">7.3</w:t>
      </w:r>
      <w:r>
        <w:t xml:space="preserve"> </w:t>
      </w:r>
      <w:r>
        <w:t xml:space="preserve">“</w:t>
      </w:r>
      <w:r>
        <w:t xml:space="preserve">Vì sao chưa lo ngại về việc có 8 bài báo</w:t>
      </w:r>
      <w:r>
        <w:t xml:space="preserve">”</w:t>
      </w:r>
    </w:p>
    <w:p>
      <w:pPr>
        <w:numPr>
          <w:ilvl w:val="0"/>
          <w:numId w:val="1005"/>
        </w:numPr>
        <w:pStyle w:val="Compact"/>
      </w:pPr>
      <w:r>
        <w:t xml:space="preserve">2 bài đã công bố (P1 VEFR, P2 JFAR) chứng tỏ năng lực công bố</w:t>
      </w:r>
    </w:p>
    <w:p>
      <w:pPr>
        <w:numPr>
          <w:ilvl w:val="0"/>
          <w:numId w:val="1005"/>
        </w:numPr>
        <w:pStyle w:val="Compact"/>
      </w:pPr>
      <w:r>
        <w:t xml:space="preserve">1 bài đã có trong kỷ yếu ICBEF 2025 (P6 baseline)</w:t>
      </w:r>
    </w:p>
    <w:p>
      <w:pPr>
        <w:numPr>
          <w:ilvl w:val="0"/>
          <w:numId w:val="1005"/>
        </w:numPr>
        <w:pStyle w:val="Compact"/>
      </w:pPr>
      <w:r>
        <w:t xml:space="preserve">5 bài đang ở các giai đoạn bản thảo khác nhau (P3, P4, P5, P7, P8)</w:t>
      </w:r>
    </w:p>
    <w:p>
      <w:pPr>
        <w:numPr>
          <w:ilvl w:val="0"/>
          <w:numId w:val="1005"/>
        </w:numPr>
        <w:pStyle w:val="Compact"/>
      </w:pPr>
      <w:r>
        <w:t xml:space="preserve">Cấu trúc luận án tích lũy là quy chuẩn phổ biến ở châu Âu và Bắc Mỹ, phù hợp với quy chuẩn Việt Nam</w:t>
      </w:r>
    </w:p>
    <w:bookmarkEnd w:id="43"/>
    <w:bookmarkStart w:id="44" w:name="vấn-đề-về-công-bố"/>
    <w:p>
      <w:pPr>
        <w:pStyle w:val="Heading2"/>
      </w:pPr>
      <w:r>
        <w:t xml:space="preserve">7.4</w:t>
      </w:r>
      <w:r>
        <w:t xml:space="preserve"> </w:t>
      </w:r>
      <w:r>
        <w:t xml:space="preserve">“</w:t>
      </w:r>
      <w:r>
        <w:t xml:space="preserve">Vấn đề về công bố</w:t>
      </w:r>
      <w:r>
        <w:t xml:space="preserve">”</w:t>
      </w:r>
    </w:p>
    <w:p>
      <w:pPr>
        <w:numPr>
          <w:ilvl w:val="0"/>
          <w:numId w:val="1006"/>
        </w:numPr>
        <w:pStyle w:val="Compact"/>
      </w:pPr>
      <w:r>
        <w:t xml:space="preserve">P1 (VEFR 2026), P2 (JFAR 2026): đã công bố</w:t>
      </w:r>
    </w:p>
    <w:p>
      <w:pPr>
        <w:numPr>
          <w:ilvl w:val="0"/>
          <w:numId w:val="1006"/>
        </w:numPr>
        <w:pStyle w:val="Compact"/>
      </w:pPr>
      <w:r>
        <w:t xml:space="preserve">P6 baseline (ICBEF 2025): đã công bố</w:t>
      </w:r>
    </w:p>
    <w:p>
      <w:pPr>
        <w:numPr>
          <w:ilvl w:val="0"/>
          <w:numId w:val="1006"/>
        </w:numPr>
        <w:pStyle w:val="Compact"/>
      </w:pPr>
      <w:r>
        <w:t xml:space="preserve">P3: bản thảo hoàn chỉnh — hướng tới JABS (Journal of Asia Business Studies, Emerald)</w:t>
      </w:r>
    </w:p>
    <w:p>
      <w:pPr>
        <w:numPr>
          <w:ilvl w:val="0"/>
          <w:numId w:val="1006"/>
        </w:numPr>
        <w:pStyle w:val="Compact"/>
      </w:pPr>
      <w:r>
        <w:t xml:space="preserve">P4: bản thảo hoàn chỉnh — hướng tới MIR (Management International Review, Springer)</w:t>
      </w:r>
    </w:p>
    <w:p>
      <w:pPr>
        <w:numPr>
          <w:ilvl w:val="0"/>
          <w:numId w:val="1006"/>
        </w:numPr>
        <w:pStyle w:val="Compact"/>
      </w:pPr>
      <w:r>
        <w:t xml:space="preserve">P5: bản thảo hoàn chỉnh — hướng tới IJOEM (International Journal of Emerging Markets, Emerald)</w:t>
      </w:r>
    </w:p>
    <w:p>
      <w:pPr>
        <w:numPr>
          <w:ilvl w:val="0"/>
          <w:numId w:val="1006"/>
        </w:numPr>
        <w:pStyle w:val="Compact"/>
      </w:pPr>
      <w:r>
        <w:t xml:space="preserve">P6: bản thảo hoàn chỉnh — IBR (International Business Review, Elsevier), đang phản biện</w:t>
      </w:r>
    </w:p>
    <w:p>
      <w:pPr>
        <w:numPr>
          <w:ilvl w:val="0"/>
          <w:numId w:val="1006"/>
        </w:numPr>
        <w:pStyle w:val="Compact"/>
      </w:pPr>
      <w:r>
        <w:t xml:space="preserve">P7: bản thảo hoàn chỉnh — JIBS (Journal of International Business Studies), đang chỉnh sửa</w:t>
      </w:r>
    </w:p>
    <w:p>
      <w:pPr>
        <w:numPr>
          <w:ilvl w:val="0"/>
          <w:numId w:val="1006"/>
        </w:numPr>
        <w:pStyle w:val="Compact"/>
      </w:pPr>
      <w:r>
        <w:t xml:space="preserve">P8: bản thảo hoàn chỉnh — World Development (Elsevier), đang chỉnh sửa</w:t>
      </w:r>
    </w:p>
    <w:p>
      <w:pPr>
        <w:pStyle w:val="FirstParagraph"/>
      </w:pPr>
      <w:r>
        <w:t xml:space="preserve">Lộ trình</w:t>
      </w:r>
      <w:r>
        <w:t xml:space="preserve"> </w:t>
      </w:r>
      <w:r>
        <w:rPr>
          <w:bCs/>
          <w:b/>
        </w:rPr>
        <w:t xml:space="preserve">dự kiến tốt nghiệp năm 2027</w:t>
      </w:r>
      <w:r>
        <w:t xml:space="preserve">:</w:t>
      </w:r>
      <w:r>
        <w:t xml:space="preserve"> </w:t>
      </w:r>
      <w:r>
        <w:t xml:space="preserve">- 2026 H2: nộp P3, P4, P5 — hồ sơ nộp bài hoàn chỉnh (JABS/MIR/IJOEM)</w:t>
      </w:r>
      <w:r>
        <w:t xml:space="preserve"> </w:t>
      </w:r>
      <w:r>
        <w:t xml:space="preserve">- 2027 H1: ít nhất 1 bài được chấp nhận; nộp lại các bản chỉnh sửa P6/P7/P8</w:t>
      </w:r>
      <w:r>
        <w:t xml:space="preserve"> </w:t>
      </w:r>
      <w:r>
        <w:t xml:space="preserve">- 2027 H2: bảo vệ luận án</w:t>
      </w:r>
    </w:p>
    <w:bookmarkEnd w:id="44"/>
    <w:bookmarkEnd w:id="45"/>
    <w:bookmarkStart w:id="50" w:name="X01645f258c2191480edef8aa982c3eddd6a2ff8"/>
    <w:p>
      <w:pPr>
        <w:pStyle w:val="Heading1"/>
      </w:pPr>
      <w:r>
        <w:t xml:space="preserve">8. Câu hỏi thường được hỏi và câu trả lời chuẩn bị sẵn</w:t>
      </w:r>
    </w:p>
    <w:bookmarkStart w:id="46" w:name="Xc244adeaacdea2076c3c5599a520a4c166e7500"/>
    <w:p>
      <w:pPr>
        <w:pStyle w:val="Heading2"/>
      </w:pPr>
      <w:r>
        <w:t xml:space="preserve">8.1 GVHD có thể hỏi:</w:t>
      </w:r>
      <w:r>
        <w:t xml:space="preserve"> </w:t>
      </w:r>
      <w:r>
        <w:t xml:space="preserve">“</w:t>
      </w:r>
      <w:r>
        <w:t xml:space="preserve">Vì sao lại nhiều quốc gia đến vậy (~49)?</w:t>
      </w:r>
      <w:r>
        <w:t xml:space="preserve">”</w:t>
      </w:r>
    </w:p>
    <w:p>
      <w:pPr>
        <w:pStyle w:val="FirstParagraph"/>
      </w:pPr>
      <w:r>
        <w:rPr>
          <w:bCs/>
          <w:b/>
        </w:rPr>
        <w:t xml:space="preserve">Trả lời</w:t>
      </w:r>
      <w:r>
        <w:t xml:space="preserve">: Tính mới của luận án nằm ở việc chứng minh rằng</w:t>
      </w:r>
      <w:r>
        <w:t xml:space="preserve"> </w:t>
      </w:r>
      <w:r>
        <w:rPr>
          <w:bCs/>
          <w:b/>
        </w:rPr>
        <w:t xml:space="preserve">quan hệ chữ U ngược có các điều kiện biên</w:t>
      </w:r>
      <w:r>
        <w:t xml:space="preserve">. Mỗi chế độ thể chế cần ít nhất 3 quốc gia để bảo đảm công suất thống kê (chuẩn của Marano 2016 là từ 5 quốc gia trở lên cho mỗi chế độ). 45 nền kinh tế chia thành 6 chế độ (ICRV I–VI), trung bình khoảng 8 nền kinh tế mỗi chế độ, đủ công suất thống kê.</w:t>
      </w:r>
    </w:p>
    <w:bookmarkEnd w:id="46"/>
    <w:bookmarkStart w:id="47" w:name="gvhd-có-thể-hỏi-vì-sao-không-dùng-panel"/>
    <w:p>
      <w:pPr>
        <w:pStyle w:val="Heading2"/>
      </w:pPr>
      <w:r>
        <w:t xml:space="preserve">8.2 GVHD có thể hỏi:</w:t>
      </w:r>
      <w:r>
        <w:t xml:space="preserve"> </w:t>
      </w:r>
      <w:r>
        <w:t xml:space="preserve">“</w:t>
      </w:r>
      <w:r>
        <w:t xml:space="preserve">Vì sao không dùng panel?</w:t>
      </w:r>
      <w:r>
        <w:t xml:space="preserve">”</w:t>
      </w:r>
    </w:p>
    <w:p>
      <w:pPr>
        <w:pStyle w:val="FirstParagraph"/>
      </w:pPr>
      <w:r>
        <w:rPr>
          <w:bCs/>
          <w:b/>
        </w:rPr>
        <w:t xml:space="preserve">Trả lời</w:t>
      </w:r>
      <w:r>
        <w:t xml:space="preserve">: WBES không phải dữ liệu bảng theo cùng doanh nghiệp mà là các lát cắt ngang lặp lại. Một lưu ý cho luận án: nên dành phần nghiên cứu tương lai cho dữ liệu bảng tại 4 quốc gia có từ 2 làn sóng trở lên (Cambodia, India, Bangladesh, Pakistan, v.v.).</w:t>
      </w:r>
    </w:p>
    <w:bookmarkEnd w:id="47"/>
    <w:bookmarkStart w:id="48" w:name="X3c2b78d82b8df299d540eefd6ff8ecce471a1da"/>
    <w:p>
      <w:pPr>
        <w:pStyle w:val="Heading2"/>
      </w:pPr>
      <w:r>
        <w:t xml:space="preserve">8.3 GVHD có thể hỏi:</w:t>
      </w:r>
      <w:r>
        <w:t xml:space="preserve"> </w:t>
      </w:r>
      <w:r>
        <w:t xml:space="preserve">“</w:t>
      </w:r>
      <w:r>
        <w:t xml:space="preserve">Vì sao tách bạch TCI và DAI thay vì gộp thành một cấu trúc số duy nhất?</w:t>
      </w:r>
      <w:r>
        <w:t xml:space="preserve">”</w:t>
      </w:r>
    </w:p>
    <w:p>
      <w:pPr>
        <w:pStyle w:val="FirstParagraph"/>
      </w:pPr>
      <w:r>
        <w:rPr>
          <w:bCs/>
          <w:b/>
        </w:rPr>
        <w:t xml:space="preserve">Trả lời</w:t>
      </w:r>
      <w:r>
        <w:t xml:space="preserve">: Việc tách bạch dựa trên 5 nguồn lý thuyết kinh doanh quốc tế chính thống: (i) Bharadwaj et al. (2013, MIS Quarterly) phân biệt năng lực công nghệ thông tin với chiến lược kinh doanh số; (ii) Verhoef et al. (2021, JBR) phân tầng 3 cấp số hóa dữ liệu, số hóa quy trình và chuyển đổi số; (iii) Cohen &amp; Levinthal (1990, ASQ) và Lall (1992, World Development) coi năng lực công nghệ là chiều sâu năng lực nội tại (năng lực hấp thụ), khác về bản chất với mức độ chấp nhận số ở giao diện bên ngoài; (iv) Bhandari et al. (2023, IBR) áp dụng logic dàn xếp nguồn lực cho quan hệ giữa quốc tế hóa và hiệu quả hoạt động, cho thấy các khái niệm số có mạng lưới khái niệm khác nhau; và (v) Coltman et al. (2008, JBR) đưa ra 4 tiêu chí cho phép TCI và DAI là hai cấu trúc tổng hợp độc lập. Vì vậy, nghiên cứu sinh dùng TCI và DAI riêng biệt (khái niệm sạch hơn) thay vì gộp thành một cấu trúc tổng hợp duy nhất.</w:t>
      </w:r>
    </w:p>
    <w:bookmarkEnd w:id="48"/>
    <w:bookmarkStart w:id="49" w:name="X68f9fe279818b58126729bae1d966dab925ccf3"/>
    <w:p>
      <w:pPr>
        <w:pStyle w:val="Heading2"/>
      </w:pPr>
      <w:r>
        <w:t xml:space="preserve">8.4 GVHD có thể hỏi:</w:t>
      </w:r>
      <w:r>
        <w:t xml:space="preserve"> </w:t>
      </w:r>
      <w:r>
        <w:t xml:space="preserve">“</w:t>
      </w:r>
      <w:r>
        <w:t xml:space="preserve">P8 Pacific không thuộc châu Á, vì sao lại đưa vào luận án?</w:t>
      </w:r>
      <w:r>
        <w:t xml:space="preserve">”</w:t>
      </w:r>
    </w:p>
    <w:p>
      <w:pPr>
        <w:pStyle w:val="FirstParagraph"/>
      </w:pPr>
      <w:r>
        <w:rPr>
          <w:bCs/>
          <w:b/>
        </w:rPr>
        <w:t xml:space="preserve">Trả lời</w:t>
      </w:r>
      <w:r>
        <w:t xml:space="preserve">: Có 3 lý do.</w:t>
      </w:r>
      <w:r>
        <w:t xml:space="preserve"> </w:t>
      </w:r>
      <w:r>
        <w:t xml:space="preserve">1.</w:t>
      </w:r>
      <w:r>
        <w:t xml:space="preserve"> </w:t>
      </w:r>
      <w:r>
        <w:rPr>
          <w:bCs/>
          <w:b/>
        </w:rPr>
        <w:t xml:space="preserve">Về thực nghiệm</w:t>
      </w:r>
      <w:r>
        <w:t xml:space="preserve">: Pacific SIDS là chế độ thể chế cực đoan, cần thiết để chứng minh rằng quan hệ chữ U ngược</w:t>
      </w:r>
      <w:r>
        <w:t xml:space="preserve"> </w:t>
      </w:r>
      <w:r>
        <w:rPr>
          <w:bCs/>
          <w:b/>
        </w:rPr>
        <w:t xml:space="preserve">thất bại</w:t>
      </w:r>
      <w:r>
        <w:t xml:space="preserve"> </w:t>
      </w:r>
      <w:r>
        <w:t xml:space="preserve">ở vùng biên</w:t>
      </w:r>
      <w:r>
        <w:t xml:space="preserve"> </w:t>
      </w:r>
      <w:r>
        <w:t xml:space="preserve">2.</w:t>
      </w:r>
      <w:r>
        <w:t xml:space="preserve"> </w:t>
      </w:r>
      <w:r>
        <w:rPr>
          <w:bCs/>
          <w:b/>
        </w:rPr>
        <w:t xml:space="preserve">Về lý thuyết</w:t>
      </w:r>
      <w:r>
        <w:t xml:space="preserve">: cách khung</w:t>
      </w:r>
      <w:r>
        <w:t xml:space="preserve"> </w:t>
      </w:r>
      <w:r>
        <w:t xml:space="preserve">“</w:t>
      </w:r>
      <w:r>
        <w:t xml:space="preserve">châu Á và các khu vực lân cận</w:t>
      </w:r>
      <w:r>
        <w:t xml:space="preserve">”</w:t>
      </w:r>
      <w:r>
        <w:t xml:space="preserve"> </w:t>
      </w:r>
      <w:r>
        <w:t xml:space="preserve">được chấp nhận rộng rãi trong tài liệu nghiên cứu (ví dụ: Ngân hàng Phát triển châu Á bao gồm cả Thái Bình Dương)</w:t>
      </w:r>
      <w:r>
        <w:t xml:space="preserve"> </w:t>
      </w:r>
      <w:r>
        <w:t xml:space="preserve">3.</w:t>
      </w:r>
      <w:r>
        <w:t xml:space="preserve"> </w:t>
      </w:r>
      <w:r>
        <w:rPr>
          <w:bCs/>
          <w:b/>
        </w:rPr>
        <w:t xml:space="preserve">Về phương pháp</w:t>
      </w:r>
      <w:r>
        <w:t xml:space="preserve">: Pacific sử dụng cùng bộ công cụ WBES, nên dữ liệu có thể so sánh được</w:t>
      </w:r>
    </w:p>
    <w:bookmarkEnd w:id="49"/>
    <w:bookmarkEnd w:id="50"/>
    <w:bookmarkStart w:id="51" w:name="references-apa-7-để-dùng-trong-demo"/>
    <w:p>
      <w:pPr>
        <w:pStyle w:val="Heading1"/>
      </w:pPr>
      <w:r>
        <w:t xml:space="preserve">9. References APA 7 (để dùng trong demo)</w:t>
      </w:r>
    </w:p>
    <w:p>
      <w:pPr>
        <w:pStyle w:val="FirstParagraph"/>
      </w:pPr>
      <w:r>
        <w:t xml:space="preserve">Marano, V., Arregle, J. 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w:t>
      </w:r>
    </w:p>
    <w:p>
      <w:pPr>
        <w:pStyle w:val="BodyText"/>
      </w:pPr>
      <w:r>
        <w:t xml:space="preserve">Kirca, A. H., Roth, K., Hult, G. T. M., &amp; Cavusgil, S. T. (2012). The role of context in the multinationality–performance relationship.</w:t>
      </w:r>
      <w:r>
        <w:t xml:space="preserve"> </w:t>
      </w:r>
      <w:r>
        <w:rPr>
          <w:iCs/>
          <w:i/>
        </w:rPr>
        <w:t xml:space="preserve">Global Strategy Journal, 2</w:t>
      </w:r>
      <w:r>
        <w:t xml:space="preserve">(2), 108–121.</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Contractor, F. J., Kumar, V., &amp; Kundu, S. K. (2007). Nature of the relationship between international expansion and performance.</w:t>
      </w:r>
      <w:r>
        <w:t xml:space="preserve"> </w:t>
      </w:r>
      <w:r>
        <w:rPr>
          <w:iCs/>
          <w:i/>
        </w:rPr>
        <w:t xml:space="preserve">Journal of World Business, 42</w:t>
      </w:r>
      <w:r>
        <w:t xml:space="preserve">(4), 401–417.</w:t>
      </w:r>
    </w:p>
    <w:p>
      <w:pPr>
        <w:pStyle w:val="BodyText"/>
      </w:pPr>
      <w:r>
        <w:t xml:space="preserve">Hitt, M. A., Hoskisson, R. E., &amp; Kim, H. (1997). International diversification: Effects on innovation and firm performance.</w:t>
      </w:r>
      <w:r>
        <w:t xml:space="preserve"> </w:t>
      </w:r>
      <w:r>
        <w:rPr>
          <w:iCs/>
          <w:i/>
        </w:rPr>
        <w:t xml:space="preserve">Academy of Management Journal, 40</w:t>
      </w:r>
      <w:r>
        <w:t xml:space="preserve">(4), 767–798.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Verbeke, A., &amp; Brugman, M. (2018). Internationalization and performance: Degree, duration, and scale of operations.</w:t>
      </w:r>
      <w:r>
        <w:t xml:space="preserve"> </w:t>
      </w:r>
      <w:r>
        <w:rPr>
          <w:iCs/>
          <w:i/>
        </w:rPr>
        <w:t xml:space="preserve">Journal of International Business Studies, 49</w:t>
      </w:r>
      <w:r>
        <w:t xml:space="preserve">(7).</w:t>
      </w:r>
    </w:p>
    <w:bookmarkEnd w:id="51"/>
    <w:bookmarkStart w:id="52" w:name="X9546b4349eba1231ba7dea814629ace276c8c15"/>
    <w:p>
      <w:pPr>
        <w:pStyle w:val="Heading1"/>
      </w:pPr>
      <w:r>
        <w:t xml:space="preserve">10. Tóm tắt 1 trang cho buổi demo với giảng viên hướng dẫn</w:t>
      </w:r>
    </w:p>
    <w:p>
      <w:pPr>
        <w:pStyle w:val="SourceCode"/>
      </w:pPr>
      <w:r>
        <w:rPr>
          <w:rStyle w:val="VerbatimChar"/>
        </w:rPr>
        <w:t xml:space="preserve">NCS Đỗ Thùy Hương — Luận án tiến sĩ</w:t>
      </w:r>
      <w:r>
        <w:br/>
      </w:r>
      <w:r>
        <w:rPr>
          <w:rStyle w:val="VerbatimChar"/>
        </w:rPr>
        <w:t xml:space="preserve">Quốc tế hóa và hiệu quả hoạt động kinh doanh của doanh nghiệp ở châu Á và lân cận</w:t>
      </w:r>
      <w:r>
        <w:br/>
      </w:r>
      <w:r>
        <w:br/>
      </w:r>
      <w:r>
        <w:rPr>
          <w:rStyle w:val="VerbatimChar"/>
        </w:rPr>
        <w:t xml:space="preserve">CÂU HỎI NGHIÊN CỨU:</w:t>
      </w:r>
      <w:r>
        <w:br/>
      </w:r>
      <w:r>
        <w:rPr>
          <w:rStyle w:val="VerbatimChar"/>
        </w:rPr>
        <w:t xml:space="preserve">Quốc tế hóa ảnh hưởng đến hiệu quả hoạt động như thế nào, và điều</w:t>
      </w:r>
      <w:r>
        <w:br/>
      </w:r>
      <w:r>
        <w:rPr>
          <w:rStyle w:val="VerbatimChar"/>
        </w:rPr>
        <w:t xml:space="preserve">kiện thể chế, năng lực số và đặc điểm nhà quản trị nào giải thích</w:t>
      </w:r>
      <w:r>
        <w:br/>
      </w:r>
      <w:r>
        <w:rPr>
          <w:rStyle w:val="VerbatimChar"/>
        </w:rPr>
        <w:t xml:space="preserve">heterogeneity?</w:t>
      </w:r>
      <w:r>
        <w:br/>
      </w:r>
      <w:r>
        <w:br/>
      </w:r>
      <w:r>
        <w:rPr>
          <w:rStyle w:val="VerbatimChar"/>
        </w:rPr>
        <w:t xml:space="preserve">8 PAPERS (P1–P8):</w:t>
      </w:r>
      <w:r>
        <w:br/>
      </w:r>
      <w:r>
        <w:rPr>
          <w:rStyle w:val="VerbatimChar"/>
        </w:rPr>
        <w:t xml:space="preserve">✅ P1 Emerging Asia 17 economies (VEFR 2026)</w:t>
      </w:r>
      <w:r>
        <w:br/>
      </w:r>
      <w:r>
        <w:rPr>
          <w:rStyle w:val="VerbatimChar"/>
        </w:rPr>
        <w:t xml:space="preserve">✅ P2 China SMEs (JFAR 2026)</w:t>
      </w:r>
      <w:r>
        <w:br/>
      </w:r>
      <w:r>
        <w:rPr>
          <w:rStyle w:val="VerbatimChar"/>
        </w:rPr>
        <w:t xml:space="preserve">✅ P3 Vietnam — Nhóm IV (Lower_mid_transition), inverted-U (TP ~39–46% FSTS), DAI Tier-1 (draft → JABS)</w:t>
      </w:r>
      <w:r>
        <w:br/>
      </w:r>
      <w:r>
        <w:rPr>
          <w:rStyle w:val="VerbatimChar"/>
        </w:rPr>
        <w:t xml:space="preserve">✅ P4 Singapore — Advanced I, inverted-U (TP ~82% FSTS), DAI Tier-1+2 moderation (draft → MIR)</w:t>
      </w:r>
      <w:r>
        <w:br/>
      </w:r>
      <w:r>
        <w:rPr>
          <w:rStyle w:val="VerbatimChar"/>
        </w:rPr>
        <w:t xml:space="preserve">✅ P5 China temporal 2012–2024 (manuscript complete → IJOEM)</w:t>
      </w:r>
      <w:r>
        <w:br/>
      </w:r>
      <w:r>
        <w:rPr>
          <w:rStyle w:val="VerbatimChar"/>
        </w:rPr>
        <w:t xml:space="preserve">✅ P6 Meta-analysis three-level MARA k=238 (manuscript complete → IBR — International Business Review; r=0.074, I²=62.4%, ICRV Q_M=17.35**)</w:t>
      </w:r>
      <w:r>
        <w:br/>
      </w:r>
      <w:r>
        <w:rPr>
          <w:rStyle w:val="VerbatimChar"/>
        </w:rPr>
        <w:t xml:space="preserve">✅ P7 Asian capstone TCI+DAI multi-country (manuscript complete → JIBS; N=82,302, TP≈37%, DAI moderation p&lt;.01)</w:t>
      </w:r>
      <w:r>
        <w:br/>
      </w:r>
      <w:r>
        <w:rPr>
          <w:rStyle w:val="VerbatimChar"/>
        </w:rPr>
        <w:t xml:space="preserve">✅ P8 Pacific SIDS Forced Penalty (REVISED, submit World Development)</w:t>
      </w:r>
      <w:r>
        <w:br/>
      </w:r>
      <w:r>
        <w:br/>
      </w:r>
      <w:r>
        <w:rPr>
          <w:rStyle w:val="VerbatimChar"/>
        </w:rPr>
        <w:t xml:space="preserve">INSTITUTIONAL GRADIENT:</w:t>
      </w:r>
      <w:r>
        <w:br/>
      </w:r>
      <w:r>
        <w:rPr>
          <w:rStyle w:val="VerbatimChar"/>
        </w:rPr>
        <w:t xml:space="preserve">Vietnam (Nhóm IV — Lower_mid_transition*)  → Inverted-U, TP ~39–46% FSTS (low optimum, lower-middle transition constraint)</w:t>
      </w:r>
      <w:r>
        <w:br/>
      </w:r>
      <w:r>
        <w:rPr>
          <w:rStyle w:val="VerbatimChar"/>
        </w:rPr>
        <w:t xml:space="preserve">Singapore (Advanced I)               → Inverted-U, TP ~82% FSTS (wide CI [53–253%], support-constrained)</w:t>
      </w:r>
      <w:r>
        <w:br/>
      </w:r>
      <w:r>
        <w:rPr>
          <w:rStyle w:val="VerbatimChar"/>
        </w:rPr>
        <w:t xml:space="preserve">China (Upper-middle III)             → Inverted-U, TP ~47–49% FSTS (stable 2012→2024, Paternoster z=0.82)</w:t>
      </w:r>
      <w:r>
        <w:br/>
      </w:r>
      <w:r>
        <w:rPr>
          <w:rStyle w:val="VerbatimChar"/>
        </w:rPr>
        <w:t xml:space="preserve">Asian capstone (all 6 ICRV groups)  → Heterogeneous moderation; P7 TP~36%, DAI≠TCI</w:t>
      </w:r>
      <w:r>
        <w:br/>
      </w:r>
      <w:r>
        <w:rPr>
          <w:rStyle w:val="VerbatimChar"/>
        </w:rPr>
        <w:t xml:space="preserve">Pacific SIDS (SIDS_small / VI)       → REVERSED slope (Forced Penalty), β(FSTS_c)=−0.404 (p=.032*); exporters-only β=−0.901 (p=.027*); year-FE-only β=−1.236 (p&lt;.001***) [R replication, N=1,469, 9 SIDS countries, 2009–2025]</w:t>
      </w:r>
      <w:r>
        <w:br/>
      </w:r>
      <w:r>
        <w:br/>
      </w:r>
      <w:r>
        <w:rPr>
          <w:rStyle w:val="VerbatimChar"/>
        </w:rPr>
        <w:t xml:space="preserve">*Vietnam = Nhóm IV (Lower_mid_transition, Group 4/6) nhất quán trong toàn bộ luận án (P7 code: ICRV_MAP["Vietnam"]=4; data registry: Group IV). Nhãn "Frontier V" trước đây trong bản thảo P3 đã được sửa thành "Nhóm IV" — nhóm V (Emerging trong P7) là Afghanistan, Nepal, Cambodia, v.v. WGI Rule of Law Việt Nam: ~−0,66 (2009), ~−0,09 (2023), nguồn World Bank.</w:t>
      </w:r>
      <w:r>
        <w:br/>
      </w:r>
      <w:r>
        <w:br/>
      </w:r>
      <w:r>
        <w:rPr>
          <w:rStyle w:val="VerbatimChar"/>
        </w:rPr>
        <w:t xml:space="preserve">TÍNH MỚI:</w:t>
      </w:r>
      <w:r>
        <w:br/>
      </w:r>
      <w:r>
        <w:rPr>
          <w:rStyle w:val="VerbatimChar"/>
        </w:rPr>
        <w:t xml:space="preserve">1. Forced Internationalization Penalty — named contribution</w:t>
      </w:r>
      <w:r>
        <w:br/>
      </w:r>
      <w:r>
        <w:rPr>
          <w:rStyle w:val="VerbatimChar"/>
        </w:rPr>
        <w:t xml:space="preserve">2. Multi-tier framework integrated (4 layers + digital lens)</w:t>
      </w:r>
      <w:r>
        <w:br/>
      </w:r>
      <w:r>
        <w:rPr>
          <w:rStyle w:val="VerbatimChar"/>
        </w:rPr>
        <w:t xml:space="preserve">3. TCI/DAI separation (kế thừa Bharadwaj 2013, Verhoef 2021, Coltman 2008)</w:t>
      </w:r>
      <w:r>
        <w:br/>
      </w:r>
      <w:r>
        <w:rPr>
          <w:rStyle w:val="VerbatimChar"/>
        </w:rPr>
        <w:t xml:space="preserve">4. First WBES study Pacific SIDS in I-P literature</w:t>
      </w:r>
      <w:r>
        <w:br/>
      </w:r>
      <w:r>
        <w:br/>
      </w:r>
      <w:r>
        <w:rPr>
          <w:rStyle w:val="VerbatimChar"/>
        </w:rPr>
        <w:t xml:space="preserve">DISTINCTIVE VS. WORLD LITERATURE:</w:t>
      </w:r>
      <w:r>
        <w:br/>
      </w:r>
      <w:r>
        <w:rPr>
          <w:rStyle w:val="VerbatimChar"/>
        </w:rPr>
        <w:t xml:space="preserve">→ Marano (2016): Single meta. NCS = mixed.</w:t>
      </w:r>
      <w:r>
        <w:br/>
      </w:r>
      <w:r>
        <w:rPr>
          <w:rStyle w:val="VerbatimChar"/>
        </w:rPr>
        <w:t xml:space="preserve">→ Wu (2022): EMNEs broadly. NCS = Asian + Pacific specific.</w:t>
      </w:r>
      <w:r>
        <w:br/>
      </w:r>
      <w:r>
        <w:rPr>
          <w:rStyle w:val="VerbatimChar"/>
        </w:rPr>
        <w:t xml:space="preserve">→ Bhandari (2023): USA single + digital capability composite. NCS = multi-country + TCI/DAI separated.</w:t>
      </w:r>
      <w:r>
        <w:br/>
      </w:r>
      <w:r>
        <w:rPr>
          <w:rStyle w:val="VerbatimChar"/>
        </w:rPr>
        <w:t xml:space="preserve">→ Vietnamese typical: 1–3 papers. NCS = 8 papers.</w:t>
      </w:r>
    </w:p>
    <w:bookmarkEnd w:id="52"/>
    <w:bookmarkStart w:id="53" w:name="X733137db982579c604977091ba9990d8f00f46a"/>
    <w:p>
      <w:pPr>
        <w:pStyle w:val="Heading1"/>
      </w:pPr>
      <w:r>
        <w:t xml:space="preserve">11. File kèm theo để demo với giảng viên hướng dẫn</w:t>
      </w:r>
    </w:p>
    <w:p>
      <w:pPr>
        <w:numPr>
          <w:ilvl w:val="0"/>
          <w:numId w:val="1007"/>
        </w:numPr>
        <w:pStyle w:val="Compact"/>
      </w:pPr>
      <w:r>
        <w:rPr>
          <w:rStyle w:val="VerbatimChar"/>
        </w:rPr>
        <w:t xml:space="preserve">00_optimal_plan_vi.md</w:t>
      </w:r>
      <w:r>
        <w:t xml:space="preserve"> </w:t>
      </w:r>
      <w:r>
        <w:t xml:space="preserve">— tính mới và đóng góp chi tiết</w:t>
      </w:r>
    </w:p>
    <w:p>
      <w:pPr>
        <w:numPr>
          <w:ilvl w:val="0"/>
          <w:numId w:val="1007"/>
        </w:numPr>
        <w:pStyle w:val="Compact"/>
      </w:pPr>
      <w:r>
        <w:rPr>
          <w:rStyle w:val="VerbatimChar"/>
        </w:rPr>
        <w:t xml:space="preserve">01_chapter_outline_vi.md</w:t>
      </w:r>
      <w:r>
        <w:t xml:space="preserve"> </w:t>
      </w:r>
      <w:r>
        <w:t xml:space="preserve">— dàn ý 5 chương</w:t>
      </w:r>
    </w:p>
    <w:p>
      <w:pPr>
        <w:numPr>
          <w:ilvl w:val="0"/>
          <w:numId w:val="1007"/>
        </w:numPr>
        <w:pStyle w:val="Compact"/>
      </w:pPr>
      <w:r>
        <w:rPr>
          <w:rStyle w:val="VerbatimChar"/>
        </w:rPr>
        <w:t xml:space="preserve">02_theoretical_framework_vi.md</w:t>
      </w:r>
      <w:r>
        <w:t xml:space="preserve"> </w:t>
      </w:r>
      <w:r>
        <w:t xml:space="preserve">— khung 4 tầng + digital lens + H1–H6</w:t>
      </w:r>
    </w:p>
    <w:p>
      <w:pPr>
        <w:numPr>
          <w:ilvl w:val="0"/>
          <w:numId w:val="1007"/>
        </w:numPr>
        <w:pStyle w:val="Compact"/>
      </w:pPr>
      <w:r>
        <w:rPr>
          <w:rStyle w:val="VerbatimChar"/>
        </w:rPr>
        <w:t xml:space="preserve">10_p8_pacific_sids_design_vi.md</w:t>
      </w:r>
      <w:r>
        <w:t xml:space="preserve"> </w:t>
      </w:r>
      <w:r>
        <w:t xml:space="preserve">— P8 boundary case</w:t>
      </w:r>
    </w:p>
    <w:p>
      <w:pPr>
        <w:numPr>
          <w:ilvl w:val="0"/>
          <w:numId w:val="1007"/>
        </w:numPr>
        <w:pStyle w:val="Compact"/>
      </w:pPr>
      <w:r>
        <w:t xml:space="preserve">File này (</w:t>
      </w:r>
      <w:r>
        <w:rPr>
          <w:rStyle w:val="VerbatimChar"/>
        </w:rPr>
        <w:t xml:space="preserve">11_dissertation_positioning_vi.md</w:t>
      </w:r>
      <w:r>
        <w:t xml:space="preserve">) — differentiation analysis</w:t>
      </w:r>
    </w:p>
    <w:bookmarkEnd w:id="5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2026-05-26T13:40:36Z</dcterms:created>
  <dcterms:modified xsi:type="dcterms:W3CDTF">2026-05-26T13:40:36Z</dcterms:modified>
</cp:coreProperties>
</file>

<file path=docProps/custom.xml><?xml version="1.0" encoding="utf-8"?>
<Properties xmlns="http://schemas.openxmlformats.org/officeDocument/2006/custom-properties" xmlns:vt="http://schemas.openxmlformats.org/officeDocument/2006/docPropsVTypes"/>
</file>