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45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45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như một hệ thống công bố gồm tám nghiên cứu thành phần P1-P8, được bổ sung bởi một phân tích tổng hợp công bố năm 2024 và một chương sách xuất bản trong tuyển tập IntechOpen năm 2025, hợp thành mười công trình gắn kết với nhau. Trong số này, hai bài đã công bố trên tạp chí, một bài đã có trong kỷ yếu hội thảo, và các bản thảo còn lại đang ở các giai đoạn phản biện và chỉnh sửa khác nhau tại các tạp chí thuộc danh mục ISI/Scopus. Mỗi nghiên cứu thành phần kiểm định một phần của khung giải thích đa tầng trên một bối cảnh hoặc một phạm vi cụ thể, và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dịch chuyển điểm uốn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giả thuyết H4 về vai trò của đặc điểm nhà quản trị cấp cao.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dịch chuyển vị trí điểm uốn</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w:t>
            </w:r>
          </w:p>
        </w:tc>
        <w:tc>
          <w:tcPr/>
          <w:p>
            <w:pPr>
              <w:pStyle w:val="Compact"/>
              <w:jc w:val="left"/>
            </w:pPr>
            <w:r>
              <w:t xml:space="preserve">H4</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dịch chuyển điểm uốn: ở môi trường thể chế chất lượng cao, doanh nghiệp cần một tỷ trọng xuất khẩu thấp hơn để bù đắp chi phí quốc tế hóa, nên điểm uốn tối ưu xuất hiện sớm hơn; ngược lại, ở môi trường thể chế yếu, chi phí giao dịch xuyên biên giới cao đẩy điểm uốn ra muộn hơn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có thể dịch chuyển điểm uốn tới khoảng $</w:t>
      </w:r>
      <w:r>
        <w:t xml:space="preserve">$15% FSTS;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vị trí điểm uốn, và vì sao vị trí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đồng thời bởi ba tầng can thiệp, cùng với lớp mở rộng năng lực số xuyên suốt.</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vị trí điểm uốn.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quản trị và giới tính nhà quản trị, đóng vai trò các yếu tố nâng mặt bằng hiệu quả. Kinh nghiệm quốc tế của nhà quản trị giảm chi phí nhận thức của gánh nặng người nước ngoài; sự hiện diện của quản trị viên nữ làm tăng tính đa dạng nhận thức và sự thận trọng trong quản trị rủi ro quốc tế.</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36%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(điều tiết bởi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Từ đó:</w:t>
      </w:r>
      <w:r>
        <w:t xml:space="preserve"> </w:t>
      </w:r>
      <w:r>
        <w:rPr>
          <w:iCs/>
          <w:i/>
        </w:rPr>
        <w:t xml:space="preserve">Kinh nghiệm quản trị và sự hiện diện của nhà quản trị nữ ở cấp cao làm mạnh thêm tác động tích cực của quốc tế hóa lên hiệu quả hoạt động, chủ yếu thông qua việc nâng mặt bằng hiệu quả, nhờ nâng cao nhận thức chiến lược quốc tế và quản trị rủi ro thận trọng hơn.</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vị trí điểm uốn. Marano et al. (2016) xác nhận thể chế quốc gia nguồn là biến điều tiết quan trọng nhất, có thể dịch chuyển điểm uốn đáng kể.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w:t>
            </w:r>
          </w:p>
        </w:tc>
        <w:tc>
          <w:tcPr/>
          <w:p>
            <w:pPr>
              <w:pStyle w:val="Compact"/>
              <w:jc w:val="left"/>
            </w:pPr>
            <w:r>
              <w:t xml:space="preserve">Đặc điểm nhà quản trị nâng mặt bằng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dịch chuyển điểm uốn</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36% FSTS tại P7 thấp hơn so với Việt Nam (39-46%) và Trung Quốc (47-49%), qua đó xác nhận ICRV điều tiết vị trí điểm uốn đúng theo dải biến thiên mà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dịch chuyển điểm uốn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giai-đoạn-1-phân-tích-tổng-hợp-1982-2026"/>
    <w:p>
      <w:pPr>
        <w:pStyle w:val="Heading2"/>
      </w:pPr>
      <w:r>
        <w:t xml:space="preserve">3.2 Giai đoạn 1: Phân tích tổng hợp 1982-2026</w:t>
      </w:r>
    </w:p>
    <w:bookmarkStart w:id="71"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2"/>
    <w:bookmarkStart w:id="7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3"/>
    <w:bookmarkEnd w:id="74"/>
    <w:bookmarkStart w:id="83" w:name="X2f2dc61cf51b22160123af8668c978f8ce43175"/>
    <w:p>
      <w:pPr>
        <w:pStyle w:val="Heading2"/>
      </w:pPr>
      <w:r>
        <w:t xml:space="preserve">3.3 Giai đoạn 2: Phân tích thực nghiệm đa quốc gia</w:t>
      </w:r>
    </w:p>
    <w:bookmarkStart w:id="75"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77"/>
    <w:bookmarkStart w:id="81" w:name="đo-lường-biến-điều-tiết"/>
    <w:p>
      <w:pPr>
        <w:pStyle w:val="Heading3"/>
      </w:pPr>
      <w:r>
        <w:t xml:space="preserve">3.3.4 Đo lường biến điều tiết</w:t>
      </w:r>
    </w:p>
    <w:bookmarkStart w:id="78"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9"/>
    <w:bookmarkStart w:id="80"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2"/>
    <w:bookmarkEnd w:id="83"/>
    <w:bookmarkStart w:id="97" w:name="mô-hình-phân-tích"/>
    <w:p>
      <w:pPr>
        <w:pStyle w:val="Heading2"/>
      </w:pPr>
      <w:r>
        <w:t xml:space="preserve">3.4 Mô hình phân tích</w:t>
      </w:r>
    </w:p>
    <w:bookmarkStart w:id="84"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4"/>
    <w:bookmarkStart w:id="8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6"/>
    <w:bookmarkStart w:id="89" w:name="mô-hình-điều-tiết-h2-h6"/>
    <w:p>
      <w:pPr>
        <w:pStyle w:val="Heading3"/>
      </w:pPr>
      <w:r>
        <w:t xml:space="preserve">3.4.4 Mô hình điều tiết (H2-H6)</w:t>
      </w:r>
    </w:p>
    <w:bookmarkStart w:id="8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7"/>
    <w:bookmarkStart w:id="88"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ba chiều số hóa × thể chế × nhà quản trị trong bối cảnh châu Á và Thái Bình Dương với 47 nước chưa được kiểm định trước đây.</w:t>
      </w:r>
    </w:p>
    <w:bookmarkEnd w:id="88"/>
    <w:bookmarkEnd w:id="89"/>
    <w:bookmarkStart w:id="90"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(102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(nhà quản trị cấp cao là nữ: lợi thế hiệu quả  17–20%xuyên bối cảnh)</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38.342 (M3, thêm kiểm soát), 28.500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94"/>
    <w:bookmarkStart w:id="95"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8"/>
    <w:bookmarkStart w:id="99"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9"/>
    <w:bookmarkStart w:id="100"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0"/>
    <w:bookmarkStart w:id="101"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1"/>
    <w:bookmarkStart w:id="102"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hóa × thể chế × nhà quản trị, mới cho châu Á và Thái Bình Dương</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45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P6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(P7) cho thấy điểm uốn tối ưu không cố định mà</w:t>
      </w:r>
      <w:r>
        <w:t xml:space="preserve"> </w:t>
      </w:r>
      <w:r>
        <w:rPr>
          <w:bCs/>
          <w:b/>
        </w:rPr>
        <w:t xml:space="preserve">dịch chuyển có hệ thống dọc theo gradient ICRV</w:t>
      </w:r>
      <w:r>
        <w:t xml:space="preserve"> </w:t>
      </w:r>
      <w:r>
        <w:t xml:space="preserve">— chính cơ chế địa hình của luận án. Thứ ba, tại các quốc đảo nhỏ Thái Bình Dương (P8),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(P3),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(P5) bổ sung một</w:t>
      </w:r>
      <w:r>
        <w:t xml:space="preserve"> </w:t>
      </w:r>
      <w:r>
        <w:rPr>
          <w:bCs/>
          <w:b/>
        </w:rPr>
        <w:t xml:space="preserve">hằng số sinh tồn</w:t>
      </w:r>
      <w:r>
        <w:t xml:space="preserve"> </w:t>
      </w:r>
      <w:r>
        <w:t xml:space="preserve">ở ngưỡng ~48% bền vững qua một thập kỷ biến động vĩ mô, còn Singapore (P4)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kết-quả-phân-tích-tổng-hợp-ba-tầng-p6"/>
    <w:p>
      <w:pPr>
        <w:pStyle w:val="Heading2"/>
      </w:pPr>
      <w:r>
        <w:t xml:space="preserve">4.2 Kết quả phân tích tổng hợp ba tầng (P6)</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6f5be0f1b8d9b19c66e3e5d543582515ce584a9"/>
    <w:p>
      <w:pPr>
        <w:pStyle w:val="Heading2"/>
      </w:pPr>
      <w:r>
        <w:t xml:space="preserve">4.3 Kết quả đa quốc gia trên 45 nền kinh tế (P7)</w:t>
      </w:r>
    </w:p>
    <w:bookmarkStart w:id="117"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45 nền kinh tế và 98 đợt khảo sát quốc gia–năm. FSTS trung bình trên toàn mẫu xấp xỉ 12%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316</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810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28.500</m:t>
        </m:r>
      </m:oMath>
      <w:r>
        <w:t xml:space="preserve">). Điểm uốn tổng thể của toàn mẫu nằm vào khoảng 36%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dải biến thiên theo ICRV. Mô hình M10 cho hiệu ứng chính của nhóm ICRV (</w:t>
      </w:r>
      <m:oMath>
        <m:r>
          <m:t>β</m:t>
        </m:r>
        <m:r>
          <m:rPr>
            <m:sty m:val="p"/>
          </m:rPr>
          <m:t>=</m:t>
        </m:r>
        <m:r>
          <m:rPr>
            <m:sty m:val="p"/>
          </m:rPr>
          <m:t>+</m:t>
        </m:r>
        <m:r>
          <m:t>0</m:t>
        </m:r>
        <m:r>
          <m:rPr>
            <m:sty m:val="p"/>
          </m:rPr>
          <m:t>,</m:t>
        </m:r>
        <m:r>
          <m:t>763</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cho dải biến thiên là hai số hạng tương tác: FSTS×ICRV (</w:t>
      </w:r>
      <m:oMath>
        <m:r>
          <m:t>β</m:t>
        </m:r>
        <m:r>
          <m:rPr>
            <m:sty m:val="p"/>
          </m:rPr>
          <m:t>=</m:t>
        </m:r>
        <m:r>
          <m:rPr>
            <m:sty m:val="p"/>
          </m:rPr>
          <m:t>+</m:t>
        </m:r>
        <m:r>
          <m:t>1</m:t>
        </m:r>
        <m:r>
          <m:rPr>
            <m:sty m:val="p"/>
          </m:rPr>
          <m:t>,</m:t>
        </m:r>
        <m:r>
          <m:t>762</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746</m:t>
        </m:r>
      </m:oMath>
      <w:r>
        <w:t xml:space="preserve">,</w:t>
      </w:r>
      <w:r>
        <w:t xml:space="preserve"> </w:t>
      </w:r>
      <m:oMath>
        <m:r>
          <m:t>p</m:t>
        </m:r>
        <m:r>
          <m:rPr>
            <m:sty m:val="p"/>
          </m:rPr>
          <m:t>&lt;</m:t>
        </m:r>
        <m:r>
          <m:rPr>
            <m:sty m:val="p"/>
          </m:rPr>
          <m:t>,</m:t>
        </m:r>
        <m:r>
          <m:t>001</m:t>
        </m:r>
      </m:oMath>
      <w:r>
        <w:t xml:space="preserve">). Hai hệ số này cho thấy điểm uốn tăng dần khi chuyển từ nhóm thể chế mạnh sang nhóm thể chế yếu:</w:t>
      </w:r>
    </w:p>
    <w:p>
      <w:pPr>
        <w:pStyle w:val="BodyText"/>
      </w:pPr>
      <m:oMathPara>
        <m:oMathParaPr>
          <m:jc m:val="center"/>
        </m:oMathParaPr>
        <m:oMath>
          <m:r>
            <m:rPr>
              <m:nor/>
              <m:sty m:val="p"/>
            </m:rPr>
            <m:t>TP(Advanced đổi mới)</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Dải biến thiên này nhất quán với dự đoán của lý thuyết thể chế. Ở môi trường thể chế mạnh (Nhóm I), doanh nghiệp hoàn vốn chi phí quốc tế hóa ở mức FSTS thấp hơn, tức đạt đỉnh hiệu quả sớm hơn. Tại các nền kinh tế thể chế yếu (Nhóm V–VI), doanh nghiệp cần quốc tế hóa sâu hơn để bù đắp chi phí giao dịch và bất định thể chế, nên điểm uốn xuất hiện muộn hơn, ở mức FSTS cao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344</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344</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144</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137</m:t>
        </m:r>
      </m:oMath>
      <w:r>
        <w:t xml:space="preserve">, không có ý nghĩa, vẫn không có ý nghĩa trong M8 với</w:t>
      </w:r>
      <w:r>
        <w:t xml:space="preserve"> </w:t>
      </w:r>
      <m:oMath>
        <m:r>
          <m:t>p</m:t>
        </m:r>
        <m:r>
          <m:rPr>
            <m:sty m:val="p"/>
          </m:rPr>
          <m:t>=</m:t>
        </m:r>
        <m:r>
          <m:rPr>
            <m:sty m:val="p"/>
          </m:rPr>
          <m:t>,</m:t>
        </m:r>
        <m:r>
          <m:t>129</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w:t>
      </w:r>
      <m:oMath>
        <m:r>
          <m:rPr>
            <m:sty m:val="p"/>
          </m:rPr>
          <m:t>exp</m:t>
        </m:r>
        <m:d>
          <m:dPr>
            <m:begChr m:val="("/>
            <m:endChr m:val=")"/>
            <m:sepChr m:val=""/>
            <m:grow/>
          </m:dPr>
          <m:e>
            <m:r>
              <m:t>0</m:t>
            </m:r>
            <m:r>
              <m:rPr>
                <m:sty m:val="p"/>
              </m:rPr>
              <m:t>,</m:t>
            </m:r>
            <m:r>
              <m:t>155</m:t>
            </m:r>
          </m:e>
        </m:d>
        <m:r>
          <m:rPr>
            <m:sty m:val="p"/>
          </m:rPr>
          <m:t>−</m:t>
        </m:r>
        <m:r>
          <m:t>1</m:t>
        </m:r>
        <m:r>
          <m:rPr>
            <m:sty m:val="p"/>
          </m:rPr>
          <m:t>≈</m:t>
        </m:r>
        <m:r>
          <m:t>0</m:t>
        </m:r>
        <m:r>
          <m:rPr>
            <m:sty m:val="p"/>
          </m:rPr>
          <m:t>,</m:t>
        </m:r>
        <m:r>
          <m:t>17</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r>
            <m:t> </m:t>
          </m:r>
          <m:d>
            <m:dPr>
              <m:begChr m:val="("/>
              <m:endChr m:val=")"/>
              <m:sepChr m:val=""/>
              <m:grow/>
            </m:dPr>
            <m:e>
              <m:r>
                <m:t>p</m:t>
              </m:r>
              <m:r>
                <m:rPr>
                  <m:sty m:val="p"/>
                </m:rPr>
                <m:t>=</m:t>
              </m:r>
              <m:r>
                <m:rPr>
                  <m:sty m:val="p"/>
                </m:rPr>
                <m:t>,</m:t>
              </m:r>
              <m:r>
                <m:t>001</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780</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994</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001</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026</m:t>
        </m:r>
      </m:oMath>
      <w:r>
        <w:t xml:space="preserve">) và nhà quản trị cấp cao là nữ (</w:t>
      </w:r>
      <m:oMath>
        <m:r>
          <m:t>β</m:t>
        </m:r>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đều nâng hiệu quả doanh nghiệp độc lập với FSTS. Hiệu ứng kinh nghiệm hàm ý năng suất cao hơn khoảng 0,7% trên mỗi năm kinh nghiệm trong ngành; hiệu ứng nhà quản trị nữ hàm ý lợi thế năng suất khoảng 20% (</w:t>
      </w:r>
      <m:oMath>
        <m:r>
          <m:rPr>
            <m:sty m:val="p"/>
          </m:rPr>
          <m:t>exp</m:t>
        </m:r>
        <m:d>
          <m:dPr>
            <m:begChr m:val="("/>
            <m:endChr m:val=")"/>
            <m:sepChr m:val=""/>
            <m:grow/>
          </m:dPr>
          <m:e>
            <m:r>
              <m:t>0</m:t>
            </m:r>
            <m:r>
              <m:rPr>
                <m:sty m:val="p"/>
              </m:rPr>
              <m:t>,</m:t>
            </m:r>
            <m:r>
              <m:t>185</m:t>
            </m:r>
          </m:e>
        </m:d>
        <m:r>
          <m:rPr>
            <m:sty m:val="p"/>
          </m:rPr>
          <m:t>−</m:t>
        </m:r>
        <m:r>
          <m:t>1</m:t>
        </m:r>
        <m:r>
          <m:rPr>
            <m:sty m:val="p"/>
          </m:rPr>
          <m:t>≈</m:t>
        </m:r>
        <m:r>
          <m:t>0</m:t>
        </m:r>
        <m:r>
          <m:rPr>
            <m:sty m:val="p"/>
          </m:rPr>
          <m:t>,</m:t>
        </m:r>
        <m:r>
          <m:t>20</m:t>
        </m:r>
      </m:oMath>
      <w:r>
        <w:t xml:space="preserve">). Tương tác FSTS×kinh nghiệm không có ý nghĩa trong M9 (</w:t>
      </w:r>
      <m:oMath>
        <m:r>
          <m:t>β</m:t>
        </m:r>
        <m:r>
          <m:rPr>
            <m:sty m:val="p"/>
          </m:rPr>
          <m:t>=</m:t>
        </m:r>
        <m:r>
          <m:rPr>
            <m:sty m:val="p"/>
          </m:rPr>
          <m:t>−</m:t>
        </m:r>
        <m:r>
          <m:t>0</m:t>
        </m:r>
        <m:r>
          <m:rPr>
            <m:sty m:val="p"/>
          </m:rPr>
          <m:t>,</m:t>
        </m:r>
        <m:r>
          <m:t>012</m:t>
        </m:r>
      </m:oMath>
      <w:r>
        <w:t xml:space="preserve">,</w:t>
      </w:r>
      <w:r>
        <w:t xml:space="preserve"> </w:t>
      </w:r>
      <m:oMath>
        <m:r>
          <m:t>p</m:t>
        </m:r>
        <m:r>
          <m:rPr>
            <m:sty m:val="p"/>
          </m:rPr>
          <m:t>=</m:t>
        </m:r>
        <m:r>
          <m:rPr>
            <m:sty m:val="p"/>
          </m:rPr>
          <m:t>,</m:t>
        </m:r>
        <m:r>
          <m:t>133</m:t>
        </m:r>
      </m:oMath>
      <w:r>
        <w:t xml:space="preserve">) nhưng đạt</w:t>
      </w:r>
      <w:r>
        <w:t xml:space="preserve"> </w:t>
      </w:r>
      <m:oMath>
        <m:r>
          <m:t>p</m:t>
        </m:r>
        <m:r>
          <m:rPr>
            <m:sty m:val="p"/>
          </m:rPr>
          <m:t>=</m:t>
        </m:r>
        <m:r>
          <m:rPr>
            <m:sty m:val="p"/>
          </m:rPr>
          <m:t>,</m:t>
        </m:r>
        <m:r>
          <m:t>053</m:t>
        </m:r>
      </m:oMath>
      <w:r>
        <w:t xml:space="preserve"> </w:t>
      </w:r>
      <w:r>
        <w:t xml:space="preserve">trong M11 (</w:t>
      </w:r>
      <m:oMath>
        <m:r>
          <m:t>β</m:t>
        </m:r>
        <m:r>
          <m:rPr>
            <m:sty m:val="p"/>
          </m:rPr>
          <m:t>=</m:t>
        </m:r>
        <m:r>
          <m:rPr>
            <m:sty m:val="p"/>
          </m:rPr>
          <m:t>−</m:t>
        </m:r>
        <m:r>
          <m:t>0</m:t>
        </m:r>
        <m:r>
          <m:rPr>
            <m:sty m:val="p"/>
          </m:rPr>
          <m:t>,</m:t>
        </m:r>
        <m:r>
          <m:t>019</m:t>
        </m:r>
      </m:oMath>
      <w:r>
        <w:t xml:space="preserve">), gợi ý rằng trong đặc tả đầy đủ, nhà quản trị nhiều kinh nghiệm xử lý thách thức phối hợp ở mức FSTS cao tốt hơn. H4 do đó được xác nhận một phần ở dạng hiệu ứng nâng mặt bằng, còn vai trò uốn đường cong chỉ xuất hiện cận biên và cần tái kiểm chứng.</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681a101b47d297343834fb947976dcfbb5a96b7"/>
    <w:p>
      <w:pPr>
        <w:pStyle w:val="Heading2"/>
      </w:pPr>
      <w:r>
        <w:t xml:space="preserve">4.5 Trường hợp biên: quốc đảo nhỏ đang phát triển Thái Bình Dương (P8)</w:t>
      </w:r>
    </w:p>
    <w:bookmarkStart w:id="126"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điểm tối ưu của nó được dịch chuyển theo bối cảnh thể chế. Đường cong U ngược tồn tại nhất quán qua các bối cảnh có thể chế đủ mạnh, nhưng điểm uốn không phải là một tham số cấu trúc cố định. Nó di chuyển theo chất lượng thể chế: từ đỉnh sớm ở chế độ tiên tiến đến đỉnh muộn ở chế độ cận biên và dễ tổn thương.</w:t>
      </w:r>
    </w:p>
    <w:p>
      <w:pPr>
        <w:pStyle w:val="BodyText"/>
      </w:pPr>
      <w:r>
        <w:t xml:space="preserve">Bằng chứng định lượng về dải dịch chuyển này khá rõ ràng. Điểm uốn đi từ khoảng 82% FSTS tại Singapore (Nhóm I, tiên tiến đổi mới) xuống khoảng 48,78% tại Trung Quốc (Nhóm III, thu nhập trung bình cao) rồi xuống 39,7% tại Việt Nam (Nhóm IV, chuyển đổi thu nhập trung bình thấp), và toàn mẫu P7 xác nhận dải biến thiên Advanced (</w:t>
      </w:r>
      <m:oMath>
        <m:r>
          <m:rPr>
            <m:sty m:val="p"/>
          </m:rPr>
          <m:t>≈</m:t>
        </m:r>
      </m:oMath>
      <w:r>
        <w:t xml:space="preserve"> </w:t>
      </w:r>
      <w:r>
        <w:t xml:space="preserve">28%) thấp hơn Frontier/SIDS (</w:t>
      </w:r>
      <m:oMath>
        <m:r>
          <m:rPr>
            <m:sty m:val="p"/>
          </m:rPr>
          <m:t>≈</m:t>
        </m:r>
      </m:oMath>
      <w:r>
        <w:t xml:space="preserve"> </w:t>
      </w:r>
      <w:r>
        <w:t xml:space="preserve">55%). Như vậy, sự dịch chuyển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155</m:t>
              </m:r>
            </m:oMath>
            <w:r>
              <w:t xml:space="preserve">) và cả hai tương tác đường cong có ý nghĩa trong P7;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(Nhà quản trị điều tiết)</w:t>
            </w:r>
          </w:p>
        </w:tc>
        <w:tc>
          <w:tcPr/>
          <w:p>
            <w:pPr>
              <w:pStyle w:val="Compact"/>
              <w:jc w:val="left"/>
            </w:pPr>
            <w:r>
              <w:t xml:space="preserve">Kinh nghiệm và giới tính nhà quản trị</w:t>
            </w:r>
          </w:p>
        </w:tc>
        <w:tc>
          <w:tcPr/>
          <w:p>
            <w:pPr>
              <w:pStyle w:val="Compact"/>
              <w:jc w:val="left"/>
            </w:pPr>
            <w:r>
              <w:t xml:space="preserve">Hỗn hợp: trong P7, nhà quản trị nữ</w:t>
            </w:r>
            <w:r>
              <w:t xml:space="preserve"> </w:t>
            </w:r>
            <m:oMath>
              <m:r>
                <m:t>β</m:t>
              </m:r>
              <m:r>
                <m:rPr>
                  <m:sty m:val="p"/>
                </m:rPr>
                <m:t>=</m:t>
              </m:r>
              <m:r>
                <m:rPr>
                  <m:sty m:val="p"/>
                </m:rPr>
                <m:t>+</m:t>
              </m:r>
              <m:r>
                <m:t>0</m:t>
              </m:r>
              <m:r>
                <m:rPr>
                  <m:sty m:val="p"/>
                </m:rPr>
                <m:t>,</m:t>
              </m:r>
              <m:r>
                <m:t>185</m:t>
              </m:r>
            </m:oMath>
            <w:r>
              <w:t xml:space="preserve">; tương tác kinh nghiệm cận ngưỡng (</w:t>
            </w:r>
            <m:oMath>
              <m:r>
                <m:t>p</m:t>
              </m:r>
              <m:r>
                <m:rPr>
                  <m:sty m:val="p"/>
                </m:rPr>
                <m:t>=</m:t>
              </m:r>
              <m:r>
                <m:rPr>
                  <m:sty m:val="p"/>
                </m:rPr>
                <m:t>,</m:t>
              </m:r>
              <m:r>
                <m:t>053</m:t>
              </m:r>
            </m:oMath>
            <w:r>
              <w:t xml:space="preserve"> </w:t>
            </w:r>
            <w:r>
              <w:t xml:space="preserve">tại M11)</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dải biến thiên điểm uốn từ P7 (Advanced</w:t>
            </w:r>
            <w:r>
              <w:t xml:space="preserve"> </w:t>
            </w:r>
            <m:oMath>
              <m:r>
                <m:rPr>
                  <m:sty m:val="p"/>
                </m:rPr>
                <m:t>≈</m:t>
              </m:r>
            </m:oMath>
            <w:r>
              <w:t xml:space="preserve"> </w:t>
            </w:r>
            <w:r>
              <w:t xml:space="preserve">28% &lt; Frontier/SIDS</w:t>
            </w:r>
            <w:r>
              <w:t xml:space="preserve"> </w:t>
            </w:r>
            <m:oMath>
              <m:r>
                <m:rPr>
                  <m:sty m:val="p"/>
                </m:rPr>
                <m:t>≈</m:t>
              </m:r>
            </m:oMath>
            <w:r>
              <w:t xml:space="preserve"> </w:t>
            </w:r>
            <w:r>
              <w:t xml:space="preserve">55%)</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33,8–40,0% qua mọi đặc tả M2–M9 và được xác nhận lại trong mô hình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điểm uốn dịch chuyển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45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141"/>
    <w:bookmarkStart w:id="142" w:name="Xbce3792f42f8794cec523698a3d6f54cb810e39"/>
    <w:p>
      <w:pPr>
        <w:pStyle w:val="Heading3"/>
      </w:pPr>
      <w:r>
        <w:t xml:space="preserve">5.1.4 Đặc điểm nhà quản trị là yếu tố điều tiết cá nhân, hỗ trợ có điều kiện H4</w:t>
      </w:r>
    </w:p>
    <w:p>
      <w:pPr>
        <w:pStyle w:val="FirstParagraph"/>
      </w:pPr>
      <w:r>
        <w:t xml:space="preserve">Kết quả về H4 từ P7 cho thấy đặc điểm nhà quản trị cấp cao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mang hiệu ứng tích cực lên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w:t>
      </w:r>
    </w:p>
    <w:p>
      <w:pPr>
        <w:pStyle w:val="BodyText"/>
      </w:pPr>
      <w:r>
        <w:t xml:space="preserve">Dù vậy, cần lưu ý rằng tác động này được phát hiện ở cấp gộp toàn mẫu (P7), nên còn phải kiểm định riêng theo từng bối cảnh ICRV mới hiểu đầy đủ điều kiện biên của yếu tố điều tiết cấp quản trị.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điểm uốn của quan hệ I-P giảm đơn điệu theo chiều từ đảo nhỏ và cận biên (~55%) xuống tiên tiến dẫn dắt bằng đổi mới (~28%). Thể chế càng mạnh, doanh nghiệp càng đạt đỉnh hiệu quả ở mức quốc tế hóa thấp hơn,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cần kiểm định vai trò của đặc điểm nhà quản trị cấp cao (H4, gồm kinh nghiệm và giới tính) trong từng bối cảnh ICRV riêng, nhất là ở nhóm cận biên và đảo nhỏ, nơi tầng năng lực và thể chế đều yếu hơn, để xem liệu đặc điểm nhà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82.302 doanh nghiệp tại 45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điểm uốn là một hàm số giảm dần của chất lượng thể chế theo ICRV: thể chế càng mạnh, điểm uốn càng đến sớm, tức ở mức FSTS thấp hơn.</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66"/>
    <w:bookmarkEnd w:id="167"/>
    <w:bookmarkStart w:id="20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8"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8"/>
    <w:bookmarkStart w:id="169"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69"/>
    <w:bookmarkStart w:id="170"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0"/>
    <w:bookmarkStart w:id="171"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1"/>
    <w:bookmarkStart w:id="172"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2"/>
    <w:bookmarkStart w:id="173"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3"/>
    <w:bookmarkStart w:id="174"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4"/>
    <w:bookmarkStart w:id="175" w:name="h.-firm-performance-đa-chiều"/>
    <w:p>
      <w:pPr>
        <w:pStyle w:val="Heading2"/>
      </w:pPr>
      <w:r>
        <w:t xml:space="preserve">H. Firm performance đa chiều</w:t>
      </w:r>
    </w:p>
    <w:p>
      <w:pPr>
        <w:pStyle w:val="FirstParagraph"/>
      </w:pPr>
      <w:r>
        <w:t xml:space="preserve">(Giữ nguyên từ v2.1.)</w:t>
      </w:r>
    </w:p>
    <w:bookmarkEnd w:id="175"/>
    <w:bookmarkStart w:id="176"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6"/>
    <w:bookmarkStart w:id="17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7"/>
    <w:bookmarkStart w:id="17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8"/>
    <w:bookmarkStart w:id="179"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79"/>
    <w:bookmarkStart w:id="18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0"/>
    <w:bookmarkStart w:id="18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1"/>
    <w:bookmarkStart w:id="18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2"/>
    <w:bookmarkStart w:id="18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3"/>
    <w:bookmarkStart w:id="18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4"/>
    <w:bookmarkStart w:id="18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5"/>
    <w:bookmarkStart w:id="18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6"/>
    <w:bookmarkStart w:id="18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7"/>
    <w:bookmarkStart w:id="191" w:name="hướng-dẫn-sử-dụng-cập-nhật-v2.5"/>
    <w:p>
      <w:pPr>
        <w:pStyle w:val="Heading2"/>
      </w:pPr>
      <w:r>
        <w:t xml:space="preserve">Hướng dẫn sử dụng (cập nhật v2.5)</w:t>
      </w:r>
    </w:p>
    <w:bookmarkStart w:id="188"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8"/>
    <w:bookmarkStart w:id="189"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89"/>
    <w:bookmarkStart w:id="19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0"/>
    <w:bookmarkEnd w:id="191"/>
    <w:bookmarkStart w:id="19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2"/>
    <w:bookmarkStart w:id="19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3"/>
    <w:bookmarkStart w:id="19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94"/>
    <w:bookmarkStart w:id="19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5"/>
    <w:bookmarkStart w:id="19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6"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45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196"/>
    <w:bookmarkStart w:id="19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7"/>
    <w:bookmarkStart w:id="19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98"/>
    <w:bookmarkEnd w:id="199"/>
    <w:bookmarkEnd w:id="20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2026-05-26T13:39:26Z</dcterms:created>
  <dcterms:modified xsi:type="dcterms:W3CDTF">2026-05-26T13:39:26Z</dcterms:modified>
</cp:coreProperties>
</file>

<file path=docProps/custom.xml><?xml version="1.0" encoding="utf-8"?>
<Properties xmlns="http://schemas.openxmlformats.org/officeDocument/2006/custom-properties" xmlns:vt="http://schemas.openxmlformats.org/officeDocument/2006/docPropsVTypes"/>
</file>