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0" w:name="tính-cấp-thiết-và-bối-cảnh-nghiên-cứu"/>
    <w:p>
      <w:pPr>
        <w:pStyle w:val="Heading2"/>
      </w:pPr>
      <w:r>
        <w:t xml:space="preserve">1.1 Tính cấp thiết và bối cảnh nghiên cứu</w:t>
      </w:r>
    </w:p>
    <w:p>
      <w:pPr>
        <w:pStyle w:val="FirstParagraph"/>
      </w:pPr>
      <w:r>
        <w:t xml:space="preserve">Cùng một mức cường độ xuất khẩu có thể nâng một doanh nghiệp ở nền kinh tế thể chế mạnh lên đỉnh năng suất, nhưng lại đẩy một doanh nghiệp ở quốc đảo nhỏ Thái Bình Dương vào vòng suy giảm đơn điệu. Chính nghịch lý đó, cùng một hành vi quốc tế hóa nhưng cho hai kết cục trái ngược tùy chế độ thể chế, là điểm khởi đầu của luận án này. 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ba tầng của chính luận án trên 238 nghiên cứu xác nhận lại quy luật thực nghiệm này: hệ số tương quan tổng hợp chỉ vào khoảng r = 0,074, trong khi mức dị biệt còn lại sau khi đã tính tới sai số lấy mẫu vẫn ở mức I² = 62,4% (Do &amp; Phan, 2026c).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 ICRV). Khác với cách hiểu thể chế như một bối cảnh tĩnh, luận án định vị ICRV như một bộ lọc chi phí giao dịch (transaction cost filter): ở chế độ thể chế mạnh, bộ lọc cho giao dịch xuất khẩu đi qua trơn tru nên doanh nghiệp duy trì được lợi ích đến mức cường độ cao; ở chế độ thể chế yếu, bộ lọc tắc nghẽn, biến xuất khẩu thành một gánh nặng trừ khi doanh nghiệp sở hữu những tấm lá chắn số và công nghệ nội tại bù đắp cho khoảng trống thể chế.</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0"/>
    <w:bookmarkStart w:id="21"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45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 Technological Capability Index — TCI với Chỉ số chấp nhận số — Digital Adoption Index — DAI), và đặc điểm nhà quản trị cấp cao (kinh nghiệm và giới tính).</w:t>
      </w:r>
    </w:p>
    <w:p>
      <w:r>
        <w:pict>
          <v:rect style="width:0;height:1.5pt" o:hralign="center" o:hrstd="t" o:hr="t"/>
        </w:pict>
      </w:r>
    </w:p>
    <w:bookmarkEnd w:id="21"/>
    <w:bookmarkStart w:id="22"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45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2"/>
    <w:bookmarkStart w:id="26" w:name="đối-tượng-và-phạm-vi-nghiên-cứu"/>
    <w:p>
      <w:pPr>
        <w:pStyle w:val="Heading2"/>
      </w:pPr>
      <w:r>
        <w:t xml:space="preserve">1.4 Đối tượng và phạm vi nghiên cứu</w:t>
      </w:r>
    </w:p>
    <w:bookmarkStart w:id="23"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3"/>
    <w:bookmarkStart w:id="24" w:name="phạm-vi-không-gian"/>
    <w:p>
      <w:pPr>
        <w:pStyle w:val="Heading3"/>
      </w:pPr>
      <w:r>
        <w:t xml:space="preserve">1.4.2 Phạm vi không gian</w:t>
      </w:r>
    </w:p>
    <w:p>
      <w:pPr>
        <w:pStyle w:val="FirstParagraph"/>
      </w:pPr>
      <w:r>
        <w:t xml:space="preserve">Phạm vi không gian chính của nghiên cứu gồm 45 nền kinh tế châu Á và Thái Bình Dương có dữ liệu trong Khảo sát Doanh nghiệp của Ngân hàng Thế giới (World Bank Enterprise Surveys —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SIDS), gồm các quốc đảo nhỏ đang phát triển (Small Island Developing States —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45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45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24"/>
    <w:bookmarkStart w:id="25"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25"/>
    <w:bookmarkEnd w:id="26"/>
    <w:bookmarkStart w:id="27"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như một hệ thống công bố gồm tám nghiên cứu thành phần P1-P8, được bổ sung bởi một phân tích tổng hợp công bố năm 2024 và một chương sách xuất bản trong tuyển tập IntechOpen năm 2025, hợp thành mười công trình gắn kết với nhau. Trong số này, hai bài đã công bố trên tạp chí, một bài đã có trong kỷ yếu hội thảo, và các bản thảo còn lại đang ở các giai đoạn phản biện và chỉnh sửa khác nhau tại các tạp chí thuộc danh mục ISI/Scopus. Mỗi nghiên cứu thành phần kiểm định một phần của khung giải thích đa tầng trên một bối cảnh hoặc một phạm vi cụ thể, và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27"/>
    <w:bookmarkStart w:id="30" w:name="những-đóng-góp-mới-của-luận-án"/>
    <w:p>
      <w:pPr>
        <w:pStyle w:val="Heading2"/>
      </w:pPr>
      <w:r>
        <w:t xml:space="preserve">1.6 Những đóng góp mới của luận án</w:t>
      </w:r>
    </w:p>
    <w:bookmarkStart w:id="28"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tích hợp bốn lý thuyết kinh điển, gồm mô hình Uppsala, quan điểm dựa trên nguồn lực (resource-based view — RBV), lý thuyết thể chế và lý thuyết Bậc trên, vào một khung giải thích đa tầng thống nhất, được bổ sung bằng một lớp mở rộng về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cũng là đóng góp mang tính định danh, là việc phát hiện và đặt tên cho gánh nặng quốc tế hóa bắt buộc (forced internationalization penalty). Đây là một cấu trúc lý thuyết chưa từng được định danh trong tài liệu nghiên cứu kinh doanh quốc tế, được xác lập như điều kiện biên cực đoan của mô hình chữ U ngược. Gánh nặng này xuất hiện khi cả ba điều kiện cấu trúc tối thiểu đồng thời bị vi phạm, đó là thị trường nội địa quá nhỏ, chi phí thương mại cực cao và thiếu hỗ trợ thể chế. Khi đó, quan hệ I-P chuyển từ dạng chữ U ngược sang quan hệ âm đơn điệu không có điểm uốn. Bằng chứng thực nghiệm từ các quốc đảo nhỏ Thái Bình Dương xác nhận quan hệ âm đơn điệu này, qua đó cho thấy chữ U ngược không phải một quy luật phổ quát mà là một quan hệ có điều kiện, và mở ra hướng nghiên cứu mới về điều kiện biên của các lý thuyết quốc tế hóa phổ quát.</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28"/>
    <w:bookmarkStart w:id="29"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45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29"/>
    <w:bookmarkEnd w:id="30"/>
    <w:bookmarkStart w:id="31"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45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p>
    <w:bookmarkEnd w:id="31"/>
    <w:bookmarkEnd w:id="3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2026-05-26T13:39:27Z</dcterms:created>
  <dcterms:modified xsi:type="dcterms:W3CDTF">2026-05-26T13:39:27Z</dcterms:modified>
</cp:coreProperties>
</file>

<file path=docProps/custom.xml><?xml version="1.0" encoding="utf-8"?>
<Properties xmlns="http://schemas.openxmlformats.org/officeDocument/2006/custom-properties" xmlns:vt="http://schemas.openxmlformats.org/officeDocument/2006/docPropsVTypes"/>
</file>