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25"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 FSTS), tỷ trọng tài sản ở nước ngoài trên tổng tài sản (foreign assets to total assets — FATA), và phạm vi địa lý. Với những nghiên cứu dùng dữ liệu doanh nghiệp từ các nền kinh tế đang phát triển và từ Khảo sát Doanh nghiệp của Ngân hàng Thế giới (World Bank Enterprise Surveys —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(Do &amp; Phan, 2026d).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20"/>
    <w:bookmarkStart w:id="21"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 ROA), tỷ suất sinh lời trên vốn chủ sở hữu, và tỷ suất sinh lời trên doanh thu (return on sales —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21"/>
    <w:bookmarkStart w:id="22"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22"/>
    <w:bookmarkStart w:id="23"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 TCI) và chỉ số chấp nhận số (Digital Adoption Index —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23"/>
    <w:bookmarkStart w:id="24"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24"/>
    <w:bookmarkEnd w:id="25"/>
    <w:bookmarkStart w:id="31"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26"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26"/>
    <w:bookmarkStart w:id="27" w:name="quan-điểm-dựa-trên-nguồn-lực"/>
    <w:p>
      <w:pPr>
        <w:pStyle w:val="Heading3"/>
      </w:pPr>
      <w:r>
        <w:t xml:space="preserve">2.2.2 Quan điểm dựa trên nguồn lực</w:t>
      </w:r>
    </w:p>
    <w:p>
      <w:pPr>
        <w:pStyle w:val="FirstParagraph"/>
      </w:pPr>
      <w:r>
        <w:t xml:space="preserve">Quan điểm dựa trên nguồn lực (resource-based view —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27"/>
    <w:bookmarkStart w:id="28"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dịch chuyển điểm uốn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28"/>
    <w:bookmarkStart w:id="29"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giả thuyết H4 về vai trò của đặc điểm nhà quản trị cấp cao.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(Do &amp; Phan, 2026d).</w:t>
      </w:r>
    </w:p>
    <w:bookmarkEnd w:id="29"/>
    <w:bookmarkStart w:id="30"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dịch chuyển vị trí điểm uốn</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w:t>
            </w:r>
          </w:p>
        </w:tc>
        <w:tc>
          <w:tcPr/>
          <w:p>
            <w:pPr>
              <w:pStyle w:val="Compact"/>
              <w:jc w:val="left"/>
            </w:pPr>
            <w:r>
              <w:t xml:space="preserve">H4</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30"/>
    <w:bookmarkEnd w:id="31"/>
    <w:bookmarkStart w:id="35"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 ICRV) để lấp khoảng trống đó.</w:t>
      </w:r>
    </w:p>
    <w:bookmarkStart w:id="32"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 ICRV), phản ánh đúng bản chất của nó: một dải biến thiên liên tục của bối cảnh thể chế, được rời rạc hóa thành sáu chế độ để tiện cho phân tích so sánh.</w:t>
      </w:r>
    </w:p>
    <w:bookmarkEnd w:id="32"/>
    <w:bookmarkStart w:id="33"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33"/>
    <w:bookmarkStart w:id="34"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dịch chuyển điểm uốn: ở môi trường thể chế chất lượng cao, doanh nghiệp cần một tỷ trọng xuất khẩu thấp hơn để bù đắp chi phí quốc tế hóa, nên điểm uốn tối ưu xuất hiện sớm hơn; ngược lại, ở môi trường thể chế yếu, chi phí giao dịch xuyên biên giới cao đẩy điểm uốn ra muộn hơn (Do &amp; Phan, 2026d).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(Do &amp; Phan, 2026d).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34"/>
    <w:bookmarkEnd w:id="35"/>
    <w:bookmarkStart w:id="40"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36"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bắt buộc, biểu hiện thành quan hệ tuyến tính âm trong các nền kinh tế buộc phải quốc tế hóa do thị trường nội địa quá nhỏ; đây là pattern đặc thù của các quốc đảo nhỏ Thái Bình Dương, nơi doanh nghiệp phải xuất khẩu để tồn tại nhưng thiếu năng lực cạnh tranh (Briguglio, 1995; Bertram, 2006).</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36"/>
    <w:bookmarkStart w:id="37"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có thể dịch chuyển điểm uốn tới khoảng $</w:t>
      </w:r>
      <w:r>
        <w:t xml:space="preserve">$15% FSTS;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P6, một phân tích tổng hợp ba tầng theo giao thức PRISMA 2020 với k = 238 nghiên cứu và K = 288 mức độ ảnh hưởng từ châu Á và Thái Bình Dương. P6 ước lượng tác động tổng hợp r = 0,074 (khoảng tin cậy 95%: 0,060; 0,088), với I² = 62,4%, tái lập và mở rộng mức cơ sở trước đó (r = 0,07, k = 113). Kiểm định khác biệt giữa các chế độ ICRV có ý nghĩa thống kê (Q_M = 17,35, df = 4, p = 0,002), xác nhận rằng dải biến thiên thể chế là một nguồn dị biệt thực chất, dù khác biệt từng cặp phần nào phản ánh thành phần nghiên cứu đơn quốc gia so với đa quốc gia. P6 cũng phát hiện thiên lệch xuất bản đáng kể: phương pháp trim-and-fill bổ khuyết 58 nghiên cứu còn thiếu, kéo tác động tổng hợp điều chỉnh xuống r = 0,035, vẫn dương nhưng bị suy giảm (Do &amp; Phan, 2026c).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37"/>
    <w:bookmarkStart w:id="38"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(Do &amp; Phan, 2026d). Phản ứng quen thuộc của tài liệu là viện đến bối cảnh như một biến điều tiết, nhưng cách làm đó để ngỏ câu hỏi sâu hơn: nếu quan hệ I-P là phi tuyến, thì điều gì quyết định vị trí điểm uốn, và vì sao vị trí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lá chắn số. Các nghiên cứu đơn quốc gia đồng hành làm sắc nét thêm bức tranh này. Trên dữ liệu Việt Nam (P3),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(Do &amp; Phan, 2026e). Trên dữ liệu Trung Quốc (P5), quan hệ chữ U ngược bền vững về cấu trúc, với điểm uốn 49,4% năm 2012 và 47,2% năm 2024, và kiểm định Paternoster không bác bỏ giả thuyết hai điểm uốn bằng nhau. Trên dữ liệu Singapore (P4), quan hệ chủ yếu dương với điểm uốn hàm ý rất muộn ở khoảng 82% FSTS, nhất quán với lợi ích gần như đơn điệu trong một nền kinh tế thể chế mạnh và bão hòa số (Mar et al., 2026).</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8"/>
    <w:bookmarkStart w:id="39"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(P3),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(Do &amp; Phan, 2026e). Ở Singapore (P4), trong nền kinh tế bão hòa số, DAI không tạo phần thưởng đồng nhất mà hoạt động như một nguồn lực mở rộng tình huống, chỉ phát huy ở cường độ xuất khẩu cao nơi nhu cầu điều phối xuyên biên giới dày đặc, với hệ số tương tác giữa DAI và bình phương FSTS dương mạnh (Mar et al., 2026).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39"/>
    <w:bookmarkEnd w:id="40"/>
    <w:bookmarkStart w:id="45" w:name="X571aebe6b94c63b04e26a653f6b78348d98b3f9"/>
    <w:p>
      <w:pPr>
        <w:pStyle w:val="Heading2"/>
      </w:pPr>
      <w:r>
        <w:t xml:space="preserve">2.5 Khoảng trống nghiên cứu và khung khái niệm, giả thuyết của luận án</w:t>
      </w:r>
    </w:p>
    <w:bookmarkStart w:id="41"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và lớp mở rộng năng lực số. Trong khung này, FSTS là biến độc lập chính và năng suất lao động là biến phụ thuộc.</w:t>
      </w:r>
    </w:p>
    <w:bookmarkEnd w:id="41"/>
    <w:bookmarkStart w:id="42"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đồng thời bởi ba tầng can thiệp, cùng với lớp mở rộng năng lực số xuyên suốt.</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vị trí điểm uốn.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quản trị và giới tính nhà quản trị, đóng vai trò các yếu tố nâng mặt bằng hiệu quả. Kinh nghiệm quốc tế của nhà quản trị giảm chi phí nhận thức của gánh nặng người nước ngoài; sự hiện diện của quản trị viên nữ làm tăng tính đa dạng nhận thức và sự thận trọng trong quản trị rủi ro quốc tế.</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42"/>
    <w:bookmarkStart w:id="43"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36% FSTS (Do &amp; Phan, 2026d).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(Do &amp; Phan, 2026d).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(điều tiết bởi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Từ đó:</w:t>
      </w:r>
      <w:r>
        <w:t xml:space="preserve"> </w:t>
      </w:r>
      <w:r>
        <w:rPr>
          <w:iCs/>
          <w:i/>
        </w:rPr>
        <w:t xml:space="preserve">Kinh nghiệm quản trị và sự hiện diện của nhà quản trị nữ ở cấp cao làm mạnh thêm tác động tích cực của quốc tế hóa lên hiệu quả hoạt động, chủ yếu thông qua việc nâng mặt bằng hiệu quả, nhờ nâng cao nhận thức chiến lược quốc tế và quản trị rủi ro thận trọng hơn.</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vị trí điểm uốn. Marano et al. (2016) xác nhận thể chế quốc gia nguồn là biến điều tiết quan trọng nhất, có thể dịch chuyển điểm uốn đáng kể.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Mar et al. (2026)</w:t>
            </w:r>
          </w:p>
        </w:tc>
      </w:tr>
      <w:tr>
        <w:tc>
          <w:tcPr/>
          <w:p>
            <w:pPr>
              <w:pStyle w:val="Compact"/>
              <w:jc w:val="left"/>
            </w:pPr>
            <w:r>
              <w:t xml:space="preserve">H4</w:t>
            </w:r>
          </w:p>
        </w:tc>
        <w:tc>
          <w:tcPr/>
          <w:p>
            <w:pPr>
              <w:pStyle w:val="Compact"/>
              <w:jc w:val="left"/>
            </w:pPr>
            <w:r>
              <w:t xml:space="preserve">Đặc điểm nhà quản trị nâng mặt bằng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dịch chuyển điểm uốn</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43"/>
    <w:bookmarkStart w:id="44"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P7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36% FSTS tại P7 thấp hơn so với Việt Nam (39-46%) và Trung Quốc (47-49%), qua đó xác nhận ICRV điều tiết vị trí điểm uốn đúng theo dải biến thiên mà lý thuyết dự đoán (Do &amp; Phan, 2026d). Khoảng trống thứ ba còn đòi hỏi kiểm định một điều kiện biên cực trị, đó là liệu có tồn tại bối cảnh nơi chữ U ngược sụp đổ hoàn toàn thành quan hệ âm đơn điệu hay không; Nghiên cứu P8 kiểm định H1b bằng dữ liệu WBES từ các nền kinh tế đảo nhỏ Thái Bình Dương, nơi ba điều kiện cấu trúc cơ bản của chữ U ngược cùng bị vi phạm (Do &amp; Phan, 2026b). Cùng với phân tích tổng hợp P6,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44"/>
    <w:bookmarkEnd w:id="45"/>
    <w:bookmarkStart w:id="46"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dịch chuyển điểm uốn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2026-05-26T13:39:27Z</dcterms:created>
  <dcterms:modified xsi:type="dcterms:W3CDTF">2026-05-26T13:39:27Z</dcterms:modified>
</cp:coreProperties>
</file>

<file path=docProps/custom.xml><?xml version="1.0" encoding="utf-8"?>
<Properties xmlns="http://schemas.openxmlformats.org/officeDocument/2006/custom-properties" xmlns:vt="http://schemas.openxmlformats.org/officeDocument/2006/docPropsVTypes"/>
</file>