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The central unresolved question in research on the internationalization–performance (I–P) relationship is not whether the relationship is non-linear, but what determines</w:t>
      </w:r>
      <w:r>
        <w:t xml:space="preserve"> </w:t>
      </w:r>
      <w:r>
        <w:rPr>
          <w:iCs/>
          <w:i/>
        </w:rPr>
        <w:t xml:space="preserve">where</w:t>
      </w:r>
      <w:r>
        <w:t xml:space="preserve"> </w:t>
      </w:r>
      <w:r>
        <w:t xml:space="preserve">its performance-maximising optimum falls. We develop and test an integrated multi-level account in which the inverted-U is universal in form but its shape is</w:t>
      </w:r>
      <w:r>
        <w:t xml:space="preserve"> </w:t>
      </w:r>
      <w:r>
        <w:rPr>
          <w:iCs/>
          <w:i/>
        </w:rPr>
        <w:t xml:space="preserve">jointly conditioned</w:t>
      </w:r>
      <w:r>
        <w:t xml:space="preserve"> </w:t>
      </w:r>
      <w:r>
        <w:t xml:space="preserve">by the institutional regime in which a firm operates and by the firm’s digital capability — with the institutional regime governing the curve’s amplitude and digital capability reshaping it, the latter operating as a partial</w:t>
      </w:r>
      <w:r>
        <w:t xml:space="preserve"> </w:t>
      </w:r>
      <w:r>
        <w:rPr>
          <w:iCs/>
          <w:i/>
        </w:rPr>
        <w:t xml:space="preserve">substitute</w:t>
      </w:r>
      <w:r>
        <w:t xml:space="preserve"> </w:t>
      </w:r>
      <w:r>
        <w:t xml:space="preserve">for institutional strength rather than as a uniform enhancer. Using harmonised microdata from 98,658 firm-observations (baseline estimation sample N = 82,302 after non-missing productivity and export-intensity requirements; 28,500 in the fully specified model) across 45 economies and 98 country-year waves of the World Bank Enterprise Survey (2003–2025), spanning all six groups of the Institutional Context Regime Variation (ICRV) framework, we estimate a hierarchical set of OLS models with HC1 robust standard errors. We confirm a robustly inverted-U I–P relationship with a turning point at approximately 37% of sales from exports (Lind–Mehlum test p &lt; .001; confirmed in M11 at TP=25.7%, p=.026). Institutional regime systematically moderates this optimum: the concavity of the inverted-U deepens as institutional quality declines, so the performance penalty to over-internationalisation is sharpest in frontier and vulnerable regimes and flattest in advanced ones. Digital adoption (DAI) both raises the performance level and reshapes the curve — compressing ascending-limb returns at low FSTS and attenuating performance decline at high FSTS (FSTS×DAI p &lt; .01; FSTS²×DAI p &lt; .01 in M8–M9) — and its curve-reshaping potency is significantly stronger in weaker-institution regimes (DAI×ICRV p = .049), consistent with digital-for-institutional substitution. Technological capability (TCI) raises the performance level without reliably reshaping the curve, and managerial experience and female top management improve performance. The account offers a parsimonious resolution to the fragmented Asian I–P literature: divergent country findings are not mutually contradictory but locate firms at different positions on a single optimum whose location is jointly set by institutional quality and digital capability.</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w:t>
      </w:r>
      <w:r>
        <w:t xml:space="preserve">— not the sign of the average effect —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 conditions that prior single-country and meta-analytic designs have not jointly satisfied.</w:t>
      </w:r>
    </w:p>
    <w:p>
      <w:pPr>
        <w:pStyle w:val="BodyText"/>
      </w:pPr>
      <w:r>
        <w:t xml:space="preserve">This paper addresses that gap. We pool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Our sample spans all six ICRV regime groups — from advanced innovation-driven economies (Singapore, Korea, Taiwan, HongKong, Israel) to Pacific Small Island Developing States (Vanuatu, Solomon Islands, Fiji, Tonga, Samoa, Kiribati, Papua New Guinea, Timor-Leste) and Gulf advanced-resource economies (Bahrain, Kuwait, Qatar, Brunei, Saudi Arabia) — classified through the Institutional Context Regime Variation (ICRV) framework that anchors the broader dissertation programme of which this study is part.</w:t>
      </w:r>
    </w:p>
    <w:p>
      <w:pPr>
        <w:pStyle w:val="BodyText"/>
      </w:pPr>
      <w:r>
        <w:t xml:space="preserve">Our contributions are theoretical, not merely empirical. First, we advance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 .026). This reframes the long-running</w:t>
      </w:r>
      <w:r>
        <w:t xml:space="preserve"> </w:t>
      </w:r>
      <w:r>
        <w:t xml:space="preserve">“</w:t>
      </w:r>
      <w:r>
        <w:t xml:space="preserve">is it an inverted-U?</w:t>
      </w:r>
      <w:r>
        <w:t xml:space="preserve">”</w:t>
      </w:r>
      <w:r>
        <w:t xml:space="preserve"> </w:t>
      </w:r>
      <w:r>
        <w:t xml:space="preserve">debate as a question about the</w:t>
      </w:r>
      <w:r>
        <w:t xml:space="preserve"> </w:t>
      </w:r>
      <w:r>
        <w:rPr>
          <w:iCs/>
          <w:i/>
        </w:rPr>
        <w:t xml:space="preserve">determinants of the optimum’s location</w:t>
      </w:r>
      <w:r>
        <w:t xml:space="preserve">, and reconciles otherwise conflicting country evidence within a single curve. Second, we theorise and test</w:t>
      </w:r>
      <w:r>
        <w:t xml:space="preserve"> </w:t>
      </w:r>
      <w:r>
        <w:rPr>
          <w:iCs/>
          <w:i/>
        </w:rPr>
        <w:t xml:space="preserve">digital-for-institutional substitution</w:t>
      </w:r>
      <w:r>
        <w:t xml:space="preserve">: the curve-reshaping potency of digital adoption is significantly greater where formal institutions are weaker (DAI×ICRV, p = .049), positioning foundational digital capability as a partial substitute for institutional infrastructure in converting exports into performance — a multi-economy extension of the institutional-voids logic (Khanna &amp; Palepu, 1997) into the digital domain. Third, we formalise the Institutional Context Regime Variation (ICRV) framework as a firm-relevant contingency construct that orders economies jointly by institutional capability and exposure to resource vulnerability, and show that it predicts both the slope and the curvature of the I–P function —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We integrate them through a single contingency construct — the</w:t>
      </w:r>
      <w:r>
        <w:t xml:space="preserve"> </w:t>
      </w:r>
      <w:r>
        <w:rPr>
          <w:bCs/>
          <w:b/>
        </w:rPr>
        <w:t xml:space="preserve">Institutional Context Regime Variation (ICRV)</w:t>
      </w:r>
      <w:r>
        <w:t xml:space="preserve"> </w:t>
      </w:r>
      <w:r>
        <w:t xml:space="preserve">framework —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Our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We use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We adopt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we exclude economies that straddle the Europe–Asia boundary and are conventionally treated as transcontinental: Türkiye and Cyprus, and the three South Caucasus economies (Armenia, Azerbaijan, Georgia) —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sample-sizes"/>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 ≈ 36,481; adding DAI (M8) N ≈ 36,372; manager models (M9) N ≈ 34,228; ICRV-moderation (M10) N ≈ 30,360; full three-way (M11) N ≈ 28,500.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3"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 ≈ 0), reflecting the fact that most WBES firms are domestically oriented; exporters (FSTS &gt; 0) represent approximately 18% of the sample. Labour productivity ranges from ln(LP) ≈ 9 (Kiribati, Timor-Leste) to ln(LP) ≈ 20 (Vietnam, Korea —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+1.211 (p &lt; .001) and β₂ = −1.630 (p &lt; .001), consistent with an inverted-U. Following Haans, Pieters, and He (2016), all four formal conditions for a genuine inverted-U are satisfied in M2: (C1) β₁ = +1.211 (p &lt; .001), confirming a positive ascending limb; (C2) β₂ = −1.630 (p &lt; .001), confirming concavity; (C3) the turning point TP* ≈ 37.1% lies well within the observed FSTS range [0%, 100%]; and (C4) the marginal effect of internationalization is positive at the lower data boundary (FSTS ≈ 0%, slope ≈ +1.21) and negative at the upper boundary (FSTS ≈ 100%, slope ≈ −2.05), with opposite signs confirmed by the Lind–Mehlum (2010) u-test (joint p &lt; .001). The inverted-U remains significant when controls are added (M3: TP = 34.1%, LM p &lt; .001) and when country-year fixed effects absorb all unobserved time-varying country heterogeneity (M5: TP = 39.5%, LM p &lt; .001, adjR² = .671). The consistency of the turning point across M2, M3, and M5 — ranging from 34.1% to 39.5% — provides strong evidence that the inverted-U is not an artefact of omitted country-level confounders. Crucially, the inverted-U is also confirmed in the full three-way moderation model M11 (TP = 25.7%, LM p =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+0.342, p &lt; .001) raises adjR² from .017 to .027. The interaction model M7 adds FSTS×TCI and FSTS²×TCI. Results show:</w:t>
      </w:r>
    </w:p>
    <w:p>
      <w:pPr>
        <w:numPr>
          <w:ilvl w:val="0"/>
          <w:numId w:val="1001"/>
        </w:numPr>
        <w:pStyle w:val="Compact"/>
      </w:pPr>
      <w:r>
        <w:t xml:space="preserve">TCI main effect: β = +0.372 (p &lt; .001) — higher TCI raises baseline performance</w:t>
      </w:r>
    </w:p>
    <w:p>
      <w:pPr>
        <w:numPr>
          <w:ilvl w:val="0"/>
          <w:numId w:val="1001"/>
        </w:numPr>
        <w:pStyle w:val="Compact"/>
      </w:pPr>
      <w:r>
        <w:t xml:space="preserve">FSTS×TCI: β = −0.111 (NS) — the ascending limb interaction is not significant</w:t>
      </w:r>
    </w:p>
    <w:p>
      <w:pPr>
        <w:numPr>
          <w:ilvl w:val="0"/>
          <w:numId w:val="1001"/>
        </w:numPr>
        <w:pStyle w:val="Compact"/>
      </w:pPr>
      <w:r>
        <w:t xml:space="preserve">FSTS²×TCI: β = −0.191 (NS in M7; remains NS in M8, p = .077)</w:t>
      </w:r>
    </w:p>
    <w:p>
      <w:pPr>
        <w:pStyle w:val="FirstParagraph"/>
      </w:pPr>
      <w:r>
        <w:t xml:space="preserve">The joint F-test for the two TCI interaction terms is not significant across M7–M9. The inverted-U remains confirmed in M7 (TP = 34.2%, LM p &lt; .001). A one-SD increase in TCI raises labour productivity by exp(0.372) − 1 ≈ 45%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P3/P5.</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+0.172, p &lt; .001), consistent with approximately a 19% performance premium for digitally active firms (exp(0.172) − 1 ≈ 19%). Strikingly, both DAI interaction terms are statistically significant in M8: FSTS×DAI = −0.588 (p &lt; .001,</w:t>
      </w:r>
      <w:r>
        <w:t xml:space="preserve"> </w:t>
      </w:r>
      <w:r>
        <w:rPr>
          <w:bCs/>
          <w:b/>
          <w:iCs/>
          <w:i/>
        </w:rPr>
        <w:t xml:space="preserve">) and FSTS²×DAI = +0.726 (p = .002,</w:t>
      </w:r>
      <w:r>
        <w:rPr>
          <w:bCs/>
          <w:b/>
          <w:iCs/>
          <w:i/>
        </w:rPr>
        <w:t xml:space="preserve"> </w:t>
      </w:r>
      <w:r>
        <w:rPr>
          <w:iCs/>
          <w:i/>
        </w:rPr>
        <w:t xml:space="preserve">).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−0.786 (p &lt; .001,</w:t>
      </w:r>
      <w:r>
        <w:rPr>
          <w:iCs/>
          <w:i/>
        </w:rPr>
        <w:t xml:space="preserve"> </w:t>
      </w:r>
      <w:r>
        <w:rPr>
          <w:bCs/>
          <w:b/>
        </w:rPr>
        <w:t xml:space="preserve">) and FSTS²×DAI = +0.982 (p &lt; .001,</w:t>
      </w:r>
      <w:r>
        <w:rPr>
          <w:bCs/>
          <w:b/>
        </w:rPr>
        <w:t xml:space="preserve"> </w:t>
      </w:r>
      <w:r>
        <w:t xml:space="preserve">*).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 compressing the ascending limb and attenuating the performance decline at high FSTS — even before controlling for managerial characteristics. This is the primary 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+0.018, p &lt; .001) and female top manager (β = +0.202, p &lt; .001) both raise firm performance independently of FSTS in M9. The experience effect implies approximately 2% higher labour productivity per additional year of sectoral experience; the female top manager effect implies approximately a 22% performance premium (exp(0.202) − 1 ≈ 22%). The FSTS×manager_experience interaction is not significant in either M9 (β = +0.005, p = .29) or M11 (β = +0.007, p =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+0.592, p &lt; .001) indicates that — controlling for TCI, DAI, and firm characteristics — each step up the ICRV scale (from Group I to VI, i.e., from stronger to weaker institutions) is associated with approximately an 81% higher labour productivity level (exp(0.592) − 1 ≈ 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+1.849, p &lt; .001) and FSTS²×ICRV (β = −2.932, p &lt; .001). The negative FSTS²×ICRV 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 even mildly convex within the observed range —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25.7%, LM p = .026), establishing that the inverted-U shape holds even in the most demanding specification. The DAI×ICRV interaction (β = +0.052, p = .049, *) is statistically significant, consistent with the CDCM prediction that digital capabilities provide stronger per-unit performance effects in weaker institutional environments. The three-way FSTS×DAI×ICRV term (β = −0.016, NS) is not significant, indicating that the DAI curve-reshaping effect documented in M8/M9 does not systematically vary across the ICRV regime gradient in this specification.</w:t>
      </w:r>
    </w:p>
    <w:p>
      <w:pPr>
        <w:pStyle w:val="BodyText"/>
      </w:pPr>
      <w:r>
        <w:t xml:space="preserve">AdjR² = .057 in M11 (vs. .039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.049), supporting regime-contingent digital effects. The three-way FSTS curve-reshaping via DAI×ICRV does not reach statistical significance — the WBES DAI measure’s limited dimensionality (Tier 1–2 only) likely constrains detection of the full CDCM-predicted interaction.</w:t>
      </w:r>
    </w:p>
    <w:bookmarkEnd w:id="41"/>
    <w:bookmarkStart w:id="42" w:name="multidimensional-performance-robustness"/>
    <w:p>
      <w:pPr>
        <w:pStyle w:val="Heading3"/>
      </w:pPr>
      <w:r>
        <w:t xml:space="preserve">4.8 Multidimensional Performance Robustness</w:t>
      </w:r>
    </w:p>
    <w:p>
      <w:pPr>
        <w:pStyle w:val="FirstParagraph"/>
      </w:pPr>
      <w:r>
        <w:t xml:space="preserve">Firm performance is multidimensional (Combs, Crook, &amp; Shook, 2005; Richard, Devinney, Yip, &amp; Johnson, 2009), so we test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(FSTS² β = −0.80, p = .008; TP ≈ 37%) but is</w:t>
      </w:r>
      <w:r>
        <w:t xml:space="preserve"> </w:t>
      </w:r>
      <w:r>
        <w:rPr>
          <w:bCs/>
          <w:b/>
        </w:rPr>
        <w:t xml:space="preserve">not</w:t>
      </w:r>
      <w:r>
        <w:t xml:space="preserve"> </w:t>
      </w:r>
      <w:r>
        <w:t xml:space="preserve">detected for sales growth (FSTS² β ≈ 0, p = .16; n.s.). This divergence is theoretically coherent rather than contradictory: the relocated-optimum mechanism concerns the</w:t>
      </w:r>
      <w:r>
        <w:t xml:space="preserve"> </w:t>
      </w:r>
      <w:r>
        <w:rPr>
          <w:iCs/>
          <w:i/>
        </w:rPr>
        <w:t xml:space="preserve">value captured per unit of internationalisation</w:t>
      </w:r>
      <w:r>
        <w:t xml:space="preserve"> </w:t>
      </w:r>
      <w:r>
        <w:t xml:space="preserve">— a stock property of productivity —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we flag this as a measurement limitation. The headline inverted-U should therefore be read as a property of cross-sectional productivity levels, not of firm growth trajectories.</w:t>
      </w:r>
    </w:p>
    <w:p>
      <w:r>
        <w:pict>
          <v:rect style="width:0;height:1.5pt" o:hralign="center" o:hrstd="t" o:hr="t"/>
        </w:pict>
      </w:r>
    </w:p>
    <w:bookmarkEnd w:id="42"/>
    <w:bookmarkEnd w:id="43"/>
    <w:bookmarkStart w:id="50" w:name="discussion"/>
    <w:p>
      <w:pPr>
        <w:pStyle w:val="Heading2"/>
      </w:pPr>
      <w:r>
        <w:t xml:space="preserve">5. Discussion</w:t>
      </w:r>
    </w:p>
    <w:bookmarkStart w:id="44" w:name="X578d84a21b3accaf1a7ada71f01c76c882cdaa8"/>
    <w:p>
      <w:pPr>
        <w:pStyle w:val="Heading3"/>
      </w:pPr>
      <w:r>
        <w:t xml:space="preserve">5.1 Theoretical Contributions: A Jointly-Determined Optimum</w:t>
      </w:r>
    </w:p>
    <w:p>
      <w:pPr>
        <w:pStyle w:val="FirstParagraph"/>
      </w:pPr>
      <w:r>
        <w:t xml:space="preserve">Our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the</w:t>
      </w:r>
      <w:r>
        <w:t xml:space="preserve"> </w:t>
      </w:r>
      <w:r>
        <w:rPr>
          <w:bCs/>
          <w:b/>
        </w:rPr>
        <w:t xml:space="preserve">relocated-optimum thesis</w:t>
      </w:r>
      <w:r>
        <w:t xml:space="preserve"> </w:t>
      </w:r>
      <w:r>
        <w:t xml:space="preserve">reframes the two-decade debate over the shape of the I–P curve. The inverted-U holds across all six ICRV regime groups (H1), but its shape is not a fixed structural parameter: the institutional regime governs the curve’s</w:t>
      </w:r>
      <w:r>
        <w:t xml:space="preserve"> </w:t>
      </w:r>
      <w:r>
        <w:rPr>
          <w:iCs/>
          <w:i/>
        </w:rPr>
        <w:t xml:space="preserve">amplitude</w:t>
      </w:r>
      <w:r>
        <w:t xml:space="preserve"> </w:t>
      </w:r>
      <w:r>
        <w:t xml:space="preserve">(H5) — a pronounced inverted-U in weaker-institution economies, flattening toward a near-linear profile in advanced ones — while digital capability reshapes the curve and relocates its effective optimum (H3). This dissolves the apparent contradiction between studies reporting positive-linear, inverted-U, and null effects (§5.2): they observe a single underlying curve whose sharpness, and whose payoff at high export intensity, are jointly set by institutional quality and digital capability. The contribution is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 </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 DAI×ICRV interaction (β = +0.052, p =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This is, to our knowledge, the first multi-economy firm-level evidence that digitalisation and institutional quality act as substitutes rather than complements in the internationalization-to-performance conversion.</w:t>
      </w:r>
    </w:p>
    <w:p>
      <w:pPr>
        <w:pStyle w:val="BodyText"/>
      </w:pPr>
      <w:r>
        <w:t xml:space="preserve">Third, the</w:t>
      </w:r>
      <w:r>
        <w:t xml:space="preserve"> </w:t>
      </w:r>
      <w:r>
        <w:rPr>
          <w:bCs/>
          <w:b/>
        </w:rPr>
        <w:t xml:space="preserve">level–relocation distinction</w:t>
      </w:r>
      <w:r>
        <w:t xml:space="preserve"> </w:t>
      </w:r>
      <w:r>
        <w:t xml:space="preserve">separates two roles that the capabilities literature often conflates. Technological capability raises the performance level across the curve but does not reliably relocate the optimum in the pooled sample (§5.3), whereas institutional regime relocates the optimum without uniformly lifting the level. Distinguishing optimum-relocating forces from level-shifting forces clarifies why country-specific capability findings (e.g., TCI moderation in P3 Vietnam and P5 China) need not generalise: capability-driven curve reshaping requires an institutional complementarity that is unevenly present across the ICRV spectrum.</w:t>
      </w:r>
    </w:p>
    <w:p>
      <w:pPr>
        <w:pStyle w:val="BodyText"/>
      </w:pPr>
      <w:r>
        <w:t xml:space="preserve">Fourth, we offer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 dimensions that the varieties-of-capitalism (Hall &amp; Soskice, 2001) and institutional-voids (Khanna &amp; Palepu, 1997) traditions treat separately — ICRV predicts both the slope and the curvature of the I–P function across 45 economies, providing a transportable scaffold for theorising firm strategy under heterogeneous institutional regimes.</w:t>
      </w:r>
    </w:p>
    <w:bookmarkEnd w:id="44"/>
    <w:bookmarkStart w:id="45" w:name="resolution-of-cross-study-heterogeneity"/>
    <w:p>
      <w:pPr>
        <w:pStyle w:val="Heading3"/>
      </w:pPr>
      <w:r>
        <w:t xml:space="preserve">5.2 Resolution of Cross-Study Heterogeneity</w:t>
      </w:r>
    </w:p>
    <w:p>
      <w:pPr>
        <w:pStyle w:val="FirstParagraph"/>
      </w:pPr>
      <w:r>
        <w:t xml:space="preserve">The central finding — an inverted-U with a turning point at approximately 37% foreign sales intensity, robust across 45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45"/>
    <w:bookmarkStart w:id="46" w:name="technology-as-amplifier-not-moderator"/>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f6197b5ae9fc313cd14220a896ca012fd7330cf"/>
    <w:p>
      <w:pPr>
        <w:pStyle w:val="Heading3"/>
      </w:pPr>
      <w:r>
        <w:t xml:space="preserve">5.4 Digital Adoption and Institutional Complementarity</w:t>
      </w:r>
    </w:p>
    <w:p>
      <w:pPr>
        <w:pStyle w:val="FirstParagraph"/>
      </w:pPr>
      <w:r>
        <w:t xml:space="preserve">The capability-complementarity curve reshaping found for DAI in M9 — and the significant DAI×ICRV interaction (β = +0.052, p = .049)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7"/>
    <w:bookmarkStart w:id="48" w:name="managerial-heterogeneity"/>
    <w:p>
      <w:pPr>
        <w:pStyle w:val="Heading3"/>
      </w:pPr>
      <w:r>
        <w:t xml:space="preserve">5.5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internationalization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8"/>
    <w:bookmarkStart w:id="49" w:name="limitations"/>
    <w:p>
      <w:pPr>
        <w:pStyle w:val="Heading3"/>
      </w:pPr>
      <w:r>
        <w:t xml:space="preserve">5.6 Limitations</w:t>
      </w:r>
    </w:p>
    <w:p>
      <w:pPr>
        <w:pStyle w:val="FirstParagraph"/>
      </w:pPr>
      <w:r>
        <w:t xml:space="preserve">Three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covers 45 ICRV-mapped economies across six regime groups; Oman’s only available wave (2003) lacks the core productivity and export-intensity items and so does not enter the estimation sample. Future waves of the Oman WBES would sharpen Group II estimates.</w:t>
      </w:r>
    </w:p>
    <w:p>
      <w:r>
        <w:pict>
          <v:rect style="width:0;height:1.5pt" o:hralign="center" o:hrstd="t" o:hr="t"/>
        </w:pict>
      </w:r>
    </w:p>
    <w:bookmarkEnd w:id="49"/>
    <w:bookmarkEnd w:id="50"/>
    <w:bookmarkStart w:id="51" w:name="conclusions"/>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 peaking at approximately 37% export intensity — yet its optimum is jointly conditioned by institutional regime and digital capability — institutions governing the curve’s amplitude and digital capability reshaping it — with digital capability operating as a partial substitute for institutional strength. Three implications follow. First, for firms on the ascending limb (FSTS &lt; 36%),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a curve reshaper, and its returns are largest where institutions are weakest (DAI×ICRV, p = .049) — making digitalisation a particularly high-leverage instrument in frontier and vulnerable regimes.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 the sample’s largest Group IV economy —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1"/>
    <w:bookmarkStart w:id="52"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2"/>
    <w:bookmarkStart w:id="53"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(N=28,500, AdjR²=.057, TP=25.7%, LM p=.026): DAI×ICRV=+0.052</w:t>
      </w:r>
      <w:r>
        <w:rPr>
          <w:iCs/>
          <w:i/>
        </w:rPr>
        <w:t xml:space="preserve">, three-way FSTS×DAI×ICRV=−0.016 (NS), mgr_experience=+0.022</w:t>
      </w:r>
      <w:r>
        <w:rPr>
          <w:bCs/>
          <w:b/>
        </w:rPr>
        <w:t xml:space="preserve">, FSTS×mgr=+0.007 (NS), mgr_female=+0.210</w:t>
      </w:r>
      <w:r>
        <w:t xml:space="preserve">*, female_owner=+0.122**.</w:t>
      </w:r>
    </w:p>
    <w:p>
      <w:r>
        <w:pict>
          <v:rect style="width:0;height:1.5pt" o:hralign="center" o:hrstd="t" o:hr="t"/>
        </w:pict>
      </w:r>
    </w:p>
    <w:bookmarkEnd w:id="53"/>
    <w:bookmarkStart w:id="54"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School of Economics, Can Tho University, patu@ctu.edu.vn, ORCID: 0000-0003-0667-3137</w:t>
      </w:r>
      <w:r>
        <w:br/>
      </w:r>
      <w:r>
        <w:rPr>
          <w:iCs/>
          <w:i/>
        </w:rPr>
        <w:t xml:space="preserve">First author: Do Thuy Huong, Vinh Long University of Technology Education, huongdt@vlute.edu.vn, ORCID: 0000-0002-7711-2487</w:t>
      </w:r>
    </w:p>
    <w:bookmarkEnd w:id="54"/>
    <w:bookmarkEnd w:id="5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2026-05-26T13:40:47Z</dcterms:created>
  <dcterms:modified xsi:type="dcterms:W3CDTF">2026-05-26T13:40:47Z</dcterms:modified>
</cp:coreProperties>
</file>

<file path=docProps/custom.xml><?xml version="1.0" encoding="utf-8"?>
<Properties xmlns="http://schemas.openxmlformats.org/officeDocument/2006/custom-properties" xmlns:vt="http://schemas.openxmlformats.org/officeDocument/2006/docPropsVTypes"/>
</file>