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được đề xuất như một điều kiện biên rõ ràng của mô hình chữ U ngược I-P: khi cả ba tiền đề cấu trúc (thị trường nội địa khả dụng, chi phí thương mại quản lý được, và thể chế hỗ trợ chức năng) đồng thời bị vi phạm, dạng hàm phi tuyến truyền thống chuyển sang quan hệ âm đơn điệu. FIP nối tiếp dòng nghiên cứu nền tảng về SIDS của Briguglio (1995) và mô hình MIRAB của Bertram (2006); đóng góp của luận án là cung cấp ước lượng định lượng đầu tiên (β = −0,404, p = ,032) trên dữ liệu WBES kết nối ba ràng buộc SIDS này với dấu của hệ số FSTS trong hồi quy I-P ở cấp doanh nghiệp.</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là chính thức kết nối ba ràng buộc cấu trúc của các quốc đảo nhỏ Thái Bình Dương (thị trường nội địa quá nhỏ, chi phí thương mại cực cao, hỗ trợ thể chế thiếu hụt) với dấu của hệ số FSTS trong hồi quy I-P ở cấp doanh nghiệp, đặt tên cho hiện tượng này là gánh nặng quốc tế hóa bắt buộc (forced internationalization penalty, FIP). Khái niệm không phải mới hoàn toàn: cấu trúc kinh tế ba ràng buộc của SIDS đã được phân tích trong các nghiên cứu nền tảng (Briguglio, 1995; mô hình MIRAB của Bertram, 2006). Đóng góp tăng thêm của luận án là (i) cung cấp ước lượng định lượng đầu tiên (β = −0,404, p = ,032) trên dữ liệu WBES về dấu âm trong hồi quy I-P, (ii) đặt FIP làm điều kiện biên rõ ràng cho mô hình chữ U ngược (quan hệ chuyển sang âm đơn điệu không có điểm uốn khi cả ba ràng buộc đồng thời bị vi phạm), và (iii) qua đó cho thấy chữ U ngược không phải quy luật phổ quát mà là quan hệ có điều kiện, mở hướng nghiên cứu về điều kiện biên của các lý thuyết quốc tế hóa.</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2026-05-30T15:51:18Z</dcterms:created>
  <dcterms:modified xsi:type="dcterms:W3CDTF">2026-05-30T15:51:18Z</dcterms:modified>
</cp:coreProperties>
</file>

<file path=docProps/custom.xml><?xml version="1.0" encoding="utf-8"?>
<Properties xmlns="http://schemas.openxmlformats.org/officeDocument/2006/custom-properties" xmlns:vt="http://schemas.openxmlformats.org/officeDocument/2006/docPropsVTypes"/>
</file>