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Management International Review (Springer Nature), or alternatively International Journal of Emerging Markets (Emerald).</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t xml:space="preserve">This study examines whether the inverted-U relationship between export intensity and firm productivity among Indian private firms is structurally durable across the 2014 to 2025 institutional and digital transformation decade (demonetisation, GST, IBC, UPI saturation, PLI, Atmanirbhar Bharat), and whether technological and digital capabilities moderate the threshold. Three World Bank Enterprise Survey waves for India (2014 PICS3, 2022 BEE, 2025 BREADY; analytic N = 28,717) are estimated by OLS with HC1 robust standard errors, quadratic FSTS terms, and capability interactions; Lind–Mehlum U-tests verify the inverted-U per wave and Paternoster z-tests evaluate 2014-versus-2025 coefficient equality, with the April 2016 UPI rollout providing a quasi-experiment for digital saturation. The inverted-U structurally collapses: the turning point migrates from FSTS = 61.8 per cent (2014) to 40.7 per cent (2022), and by 2025 the curvature term is insignificant (β₂ = −0.16, p = 0.42) and the relationship is monotonically negative. Paternoster z-tests reject coefficient equality for the linear (z = −7.94) and quadratic (z = +4.17) terms (both p &lt; 0.0001), and the UPI Tier-2 e-payment interaction is negative (FSTS × DAI_epay = −4.02, p = 0.004). The study provides the first firm-level evidence that extreme institutional transformation can dissolve, rather than relocate, the inverted-U threshold, identifying a previously untested scope condition for the Lu and Beamish (2004) claim: the threshold is conditional on institutional stability. The authors’ earlier work (Do and Phan, 2025) is acknowledged as prior author work.</w:t>
      </w:r>
    </w:p>
    <w:p>
      <w:pPr>
        <w:pStyle w:val="BodyText"/>
      </w:pPr>
      <w:r>
        <w:rPr>
          <w:bCs/>
          <w:b/>
        </w:rPr>
        <w:t xml:space="preserve">Keywords:</w:t>
      </w:r>
      <w:r>
        <w:t xml:space="preserve"> </w:t>
      </w:r>
      <w:r>
        <w:t xml:space="preserve">internationalisation–performance; export intensity; threshold stability; India; UPI; technological capability; institutional transformation;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334000" cy="3130882"/>
            <wp:effectExtent b="0" l="0" r="0" t="0"/>
            <wp:docPr descr="Figure 2. Wave-specific predicted I-P relationship: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334000" cy="3130882"/>
                    </a:xfrm>
                    <a:prstGeom prst="rect">
                      <a:avLst/>
                    </a:prstGeom>
                    <a:noFill/>
                    <a:ln w="9525">
                      <a:noFill/>
                      <a:headEnd/>
                      <a:tailEnd/>
                    </a:ln>
                  </pic:spPr>
                </pic:pic>
              </a:graphicData>
            </a:graphic>
          </wp:inline>
        </w:drawing>
      </w:r>
    </w:p>
    <w:p>
      <w:pPr>
        <w:pStyle w:val="ImageCaption"/>
      </w:pPr>
      <w:r>
        <w:t xml:space="preserve">Figure 2. Wave-specific predicted I-P relationship: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334000" cy="3485437"/>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334000" cy="3485437"/>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334000" cy="3738442"/>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334000" cy="3738442"/>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Do, T.H. and Phan, A.T. (2025),</w:t>
      </w:r>
      <w:r>
        <w:t xml:space="preserve"> </w:t>
      </w:r>
      <w:r>
        <w:t xml:space="preserve">“</w:t>
      </w:r>
      <w:r>
        <w:t xml:space="preserve">Internationalization and firm performance of firms in India: the role of top management</w:t>
      </w:r>
      <w:r>
        <w:t xml:space="preserve">”</w:t>
      </w:r>
      <w:r>
        <w:t xml:space="preserve">, in</w:t>
      </w:r>
      <w:r>
        <w:t xml:space="preserve"> </w:t>
      </w:r>
      <w:r>
        <w:rPr>
          <w:iCs/>
          <w:i/>
        </w:rPr>
        <w:t xml:space="preserve">International Business Research, Traditional and Creative Approaches</w:t>
      </w:r>
      <w:r>
        <w:t xml:space="preserve">, IntechOpen, London, available at: https://doi.org/10.5772/intechopen.1011012</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w:t>
      </w:r>
      <w:r>
        <w:t xml:space="preserve"> </w:t>
      </w:r>
      <w:r>
        <w:t xml:space="preserve">“</w:t>
      </w:r>
      <w:r>
        <w:t xml:space="preserve">The performance effects of</w:t>
      </w:r>
      <w:r>
        <w:t xml:space="preserve"> </w:t>
      </w:r>
      <w:r>
        <w:t xml:space="preserve">‘</w:t>
      </w:r>
      <w:r>
        <w:t xml:space="preserve">added cultural distance</w:t>
      </w:r>
      <w:r>
        <w:t xml:space="preserve">’</w:t>
      </w:r>
      <w:r>
        <w:t xml:space="preserve"> </w:t>
      </w:r>
      <w:r>
        <w:t xml:space="preserve">in multinational expansion paths: generalizable and contextual determinants</w:t>
      </w:r>
      <w:r>
        <w:t xml:space="preserve">”</w:t>
      </w:r>
      <w:r>
        <w:t xml:space="preserve">,</w:t>
      </w:r>
      <w:r>
        <w:t xml:space="preserve"> </w:t>
      </w:r>
      <w:r>
        <w:rPr>
          <w:iCs/>
          <w:i/>
        </w:rPr>
        <w:t xml:space="preserve">Multinational Business Review</w:t>
      </w:r>
      <w:r>
        <w:t xml:space="preserve">, available at: https://doi.org/10.1108/mbr-04-2025-0104</w:t>
      </w:r>
    </w:p>
    <w:p>
      <w:pPr>
        <w:pStyle w:val="BodyText"/>
      </w:pPr>
      <w:r>
        <w:t xml:space="preserve">Hutzschenreuter, T. and Voll, J.C. (2008),</w:t>
      </w:r>
      <w:r>
        <w:t xml:space="preserve"> </w:t>
      </w:r>
      <w:r>
        <w:t xml:space="preserve">“</w:t>
      </w:r>
      <w:r>
        <w:t xml:space="preserve">Performance effects of</w:t>
      </w:r>
      <w:r>
        <w:t xml:space="preserve"> </w:t>
      </w:r>
      <w:r>
        <w:t xml:space="preserve">‘</w:t>
      </w:r>
      <w:r>
        <w:t xml:space="preserve">added cultural distance</w:t>
      </w:r>
      <w:r>
        <w:t xml:space="preserve">’</w:t>
      </w:r>
      <w:r>
        <w:t xml:space="preserve"> </w:t>
      </w:r>
      <w:r>
        <w:t xml:space="preserve">in the path of international expansion</w:t>
      </w:r>
      <w:r>
        <w:t xml:space="preserve">”</w:t>
      </w:r>
      <w:r>
        <w:t xml:space="preserve">,</w:t>
      </w:r>
      <w:r>
        <w:t xml:space="preserve"> </w:t>
      </w:r>
      <w:r>
        <w:rPr>
          <w:iCs/>
          <w:i/>
        </w:rPr>
        <w:t xml:space="preserve">Journal of International Business Studies</w:t>
      </w:r>
      <w:r>
        <w:t xml:space="preserve">, Vol. 39 No. 1, pp. 53–70.</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2026-06-10T04:08:43Z</dcterms:created>
  <dcterms:modified xsi:type="dcterms:W3CDTF">2026-06-10T04:08:43Z</dcterms:modified>
</cp:coreProperties>
</file>

<file path=docProps/custom.xml><?xml version="1.0" encoding="utf-8"?>
<Properties xmlns="http://schemas.openxmlformats.org/officeDocument/2006/custom-properties" xmlns:vt="http://schemas.openxmlformats.org/officeDocument/2006/docPropsVTypes"/>
</file>