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bookmarkStart w:id="21" w:name="đỗ-thùy-hương"/>
    <w:p>
      <w:pPr>
        <w:pStyle w:val="Heading1"/>
      </w:pPr>
      <w:r>
        <w:t xml:space="preserve">ĐỖ THÙY HƯƠNG</w:t>
      </w:r>
    </w:p>
    <w:bookmarkStart w:id="20" w:name="Xc68c6454702a5acc569973a2d0e5beb6bb91b2c"/>
    <w:p>
      <w:pPr>
        <w:pStyle w:val="Heading2"/>
      </w:pPr>
      <w:r>
        <w:t xml:space="preserve">QUỐC TẾ HÓA VÀ HIỆU QUẢ HOẠT ĐỘNG CỦA DOANH NGHIỆP TẠI CHÂU Á: VAI TRÒ ĐIỀU TIẾT CỦA THỂ CHẾ, NĂNG LỰC SỐ VÀ ĐẶC ĐIỂM NHÀ QUẢN TRỊ</w:t>
      </w:r>
    </w:p>
    <w:p>
      <w:pPr>
        <w:pStyle w:val="FirstParagraph"/>
      </w:pPr>
      <w:r>
        <w:rPr>
          <w:iCs/>
          <w:i/>
        </w:rPr>
        <w:t xml:space="preserve">(Tiêu đề dự thảo, NCS xác nhận tiêu đề chính thức đã đăng ký với cơ sở đào tạo)</w:t>
      </w:r>
    </w:p>
    <w:p>
      <w:pPr>
        <w:pStyle w:val="BodyText"/>
      </w:pPr>
      <w:r>
        <w:t xml:space="preserve">LUẬN ÁN TIẾN SĨ</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rPr>
          <w:iCs/>
          <w:i/>
        </w:rPr>
        <w:t xml:space="preserve">[NCS xác nhận: TS. Nguyễn Minh Cảnh / PGS.TS. Phan Anh Tú]</w:t>
      </w:r>
    </w:p>
    <w:p>
      <w:pPr>
        <w:pStyle w:val="BodyText"/>
      </w:pPr>
      <w:r>
        <w:t xml:space="preserve">Cần Thơ, năm 2026</w:t>
      </w:r>
    </w:p>
    <w:bookmarkEnd w:id="20"/>
    <w:bookmarkEnd w:id="21"/>
    <w:p>
      <w:r>
        <w:pict>
          <v:rect style="width:0;height:1.5pt" o:hralign="center" o:hrstd="t" o:hr="t"/>
        </w:pict>
      </w:r>
    </w:p>
    <w:bookmarkStart w:id="22"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2"/>
    <w:bookmarkStart w:id="23"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3"/>
    <w:bookmarkStart w:id="24"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quan hệ I–P chuyển thành âm đơn điệu không có điểm uốn,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4"/>
    <w:bookmarkStart w:id="25"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the relationship becomes monotonically negative with no turning point,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5"/>
    <w:bookmarkStart w:id="26" w:name="mục-lục"/>
    <w:p>
      <w:pPr>
        <w:pStyle w:val="Heading2"/>
      </w:pPr>
      <w:r>
        <w:t xml:space="preserve">MỤC LỤC</w:t>
      </w:r>
    </w:p>
    <w:p>
      <w:pPr>
        <w:pStyle w:val="FirstParagraph"/>
      </w:pPr>
      <w:r>
        <w:rPr>
          <w:bCs/>
          <w:b/>
        </w:rPr>
        <w:t xml:space="preserve">MỞ ĐẦU</w:t>
      </w:r>
      <w:r>
        <w:t xml:space="preserve">, Lời cam đoan, Lời cảm ơn, Tóm tắt, Abstract, Danh mục từ viết tắt, Danh mục bảng, Danh mục hình, Danh mục công trình</w:t>
      </w:r>
    </w:p>
    <w:p>
      <w:pPr>
        <w:pStyle w:val="BodyText"/>
      </w:pPr>
      <w:r>
        <w:rPr>
          <w:bCs/>
          <w:b/>
        </w:rPr>
        <w:t xml:space="preserve">CHƯƠNG 1. GIỚI THIỆU</w:t>
      </w:r>
      <w:r>
        <w:t xml:space="preserve"> </w:t>
      </w:r>
      <w:r>
        <w:t xml:space="preserve">- 1.1 Bối cảnh nghiên cứu, 1.2 Vấn đề nghiên cứu, 1.3 Mục tiêu, 1.4 Câu hỏi nghiên cứu</w:t>
      </w:r>
      <w:r>
        <w:t xml:space="preserve"> </w:t>
      </w:r>
      <w:r>
        <w:t xml:space="preserve">- 1.5 Đối tượng và phạm vi, 1.6 Phương pháp luận, 1.7 Giả thuyết khoa học (tóm tắt)</w:t>
      </w:r>
      <w:r>
        <w:t xml:space="preserve"> </w:t>
      </w:r>
      <w:r>
        <w:t xml:space="preserve">- 1.8 Ý nghĩa khoa học và thực tiễn, 1.9 Tính mới, 1.10 Cấu trúc của luận án</w:t>
      </w:r>
    </w:p>
    <w:p>
      <w:pPr>
        <w:pStyle w:val="BodyText"/>
      </w:pPr>
      <w:r>
        <w:rPr>
          <w:bCs/>
          <w:b/>
        </w:rPr>
        <w:t xml:space="preserve">CHƯƠNG 2. CƠ SỞ LÝ THUYẾT VÀ TỔNG QUAN TÀI LIỆU</w:t>
      </w:r>
      <w:r>
        <w:t xml:space="preserve"> </w:t>
      </w:r>
      <w:r>
        <w:t xml:space="preserve">- 2.1 Các khái niệm cốt lõi, 2.2 Các lý thuyết nền, 2.3 Tổng quan thực nghiệm</w:t>
      </w:r>
      <w:r>
        <w:t xml:space="preserve"> </w:t>
      </w:r>
      <w:r>
        <w:t xml:space="preserve">- 2.4 Khoảng trống nghiên cứu, 2.5 Mô hình nghiên cứu và hệ giả thuyết (H1–H6, H1b, H1c), 2.6 Tóm tắt chương</w:t>
      </w:r>
    </w:p>
    <w:p>
      <w:pPr>
        <w:pStyle w:val="BodyText"/>
      </w:pPr>
      <w:r>
        <w:rPr>
          <w:bCs/>
          <w:b/>
        </w:rPr>
        <w:t xml:space="preserve">CHƯƠNG 3. PHƯƠNG PHÁP NGHIÊN CỨU</w:t>
      </w:r>
      <w:r>
        <w:t xml:space="preserve"> </w:t>
      </w:r>
      <w:r>
        <w:t xml:space="preserve">- 3.1 Thiết kế nghiên cứu tổng thể, 3.2 Phase 1: Meta-analysis 1982–2026, 3.3 Phase 2: Phân tích thực nghiệm đa quốc gia</w:t>
      </w:r>
      <w:r>
        <w:t xml:space="preserve"> </w:t>
      </w:r>
      <w:r>
        <w:t xml:space="preserve">- 3.4 Mô hình phân tích (M0–M11), 3.5 Kiểm định độ vững, 3.6 Tóm tắt phương pháp, 3.7 Đạo đức nghiên cứu</w:t>
      </w:r>
    </w:p>
    <w:p>
      <w:pPr>
        <w:pStyle w:val="BodyText"/>
      </w:pPr>
      <w:r>
        <w:rPr>
          <w:bCs/>
          <w:b/>
        </w:rPr>
        <w:t xml:space="preserve">CHƯƠNG 4. KẾT QUẢ NGHIÊN CỨU</w:t>
      </w:r>
      <w:r>
        <w:t xml:space="preserve"> </w:t>
      </w:r>
      <w:r>
        <w:t xml:space="preserve">- 4.1 Thực trạng quốc tế hóa và hiệu quả tại châu Á theo nhóm ICRV</w:t>
      </w:r>
      <w:r>
        <w:t xml:space="preserve"> </w:t>
      </w:r>
      <w:r>
        <w:t xml:space="preserve">- 4.2 Meta-analysis ba tầng (P6), 4.3 Singapore (P4), 4.4 Trung Quốc (P5), 4.5 Việt Nam (P3)</w:t>
      </w:r>
      <w:r>
        <w:t xml:space="preserve"> </w:t>
      </w:r>
      <w:r>
        <w:t xml:space="preserve">- 4.6 Kiểm định toàn mẫu đa bối cảnh (P7), 4.7 SIDS (P8), 4.8 Ấn Độ (P9), 4.9 Tam giác hóa với bằng chứng vĩ mô WB, 4.10 Tổng hợp theo hệ giả thuyết</w:t>
      </w:r>
    </w:p>
    <w:p>
      <w:pPr>
        <w:pStyle w:val="BodyText"/>
      </w:pPr>
      <w:r>
        <w:rPr>
          <w:bCs/>
          <w:b/>
        </w:rPr>
        <w:t xml:space="preserve">CHƯƠNG 5. THẢO LUẬN VÀ KẾT LUẬN</w:t>
      </w:r>
      <w:r>
        <w:t xml:space="preserve"> </w:t>
      </w:r>
      <w:r>
        <w:t xml:space="preserve">- 5.1 Bàn luận theo khung CDCM, 5.2 So sánh nghiên cứu trước, 5.3 Đóng góp lý thuyết</w:t>
      </w:r>
      <w:r>
        <w:t xml:space="preserve"> </w:t>
      </w:r>
      <w:r>
        <w:t xml:space="preserve">- 5.4 Đề xuất chính sách và quản trị, 5.5 Hạn chế và hướng tương lai, 5.6 Kết luận</w:t>
      </w:r>
    </w:p>
    <w:p>
      <w:pPr>
        <w:pStyle w:val="BodyText"/>
      </w:pPr>
      <w:r>
        <w:rPr>
          <w:bCs/>
          <w:b/>
        </w:rPr>
        <w:t xml:space="preserve">TÀI LIỆU THAM KHẢO</w:t>
      </w:r>
      <w:r>
        <w:t xml:space="preserve"> </w:t>
      </w:r>
      <w:r>
        <w:t xml:space="preserve">(APA 7th)</w:t>
      </w:r>
      <w:r>
        <w:t xml:space="preserve"> </w:t>
      </w:r>
      <w:r>
        <w:rPr>
          <w:bCs/>
          <w:b/>
        </w:rPr>
        <w:t xml:space="preserve">PHỤ LỤC A</w:t>
      </w:r>
      <w:r>
        <w:t xml:space="preserve">, Quy trình hợp nhất và hài hòa hóa dữ liệu WBES đa quốc gia (S1–S6, Hình A.1)</w:t>
      </w:r>
    </w:p>
    <w:p>
      <w:pPr>
        <w:pStyle w:val="BodyText"/>
      </w:pPr>
      <w:r>
        <w:rPr>
          <w:iCs/>
          <w:i/>
        </w:rPr>
        <w:t xml:space="preserve">(Số trang được sinh tự động khi xuất bản bản cuối.)</w:t>
      </w:r>
    </w:p>
    <w:p>
      <w:r>
        <w:pict>
          <v:rect style="width:0;height:1.5pt" o:hralign="center" o:hrstd="t" o:hr="t"/>
        </w:pict>
      </w:r>
    </w:p>
    <w:bookmarkEnd w:id="26"/>
    <w:bookmarkStart w:id="27"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7"/>
    <w:bookmarkStart w:id="28"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chương, giả thuyết (Chương 2)</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Nhóm I (Chương 4, Mục 4.1.5)</w:t>
      </w:r>
      <w:r>
        <w:t xml:space="preserve"> </w:t>
      </w:r>
      <w:r>
        <w:t xml:space="preserve">- Bảng 4.4. Tiến triển các mô hình lồng nhau của P7 trên khung 50 nền (Chương 4, Mục 4.6)</w:t>
      </w:r>
      <w:r>
        <w:t xml:space="preserve"> </w:t>
      </w:r>
      <w:r>
        <w:t xml:space="preserve">- Bảng 4.5. Điểm uốn theo nhóm ICRV, khung 50 nền (Chương 4, Mục 4.6)</w:t>
      </w:r>
      <w:r>
        <w:t xml:space="preserve"> </w:t>
      </w:r>
      <w:r>
        <w:t xml:space="preserve">- Bảng 4.6. Điểm uốn theo đợt khảo sát, Ấn Độ (Chương 4, Mục 4.8)</w:t>
      </w:r>
      <w:r>
        <w:t xml:space="preserve"> </w:t>
      </w:r>
      <w:r>
        <w:t xml:space="preserve">- Bảng 4.7. Tổng hợp ước lượng các nghiên cứu thành phần thực nghiệm (Chương 4, Mục 4.10)</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4.10)</w:t>
      </w:r>
    </w:p>
    <w:bookmarkEnd w:id="28"/>
    <w:bookmarkStart w:id="29"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4.1. Họ đường cong I–P phụ thuộc chế độ thể chế ICRV (Chương 4)</w:t>
      </w:r>
    </w:p>
    <w:p>
      <w:pPr>
        <w:numPr>
          <w:ilvl w:val="0"/>
          <w:numId w:val="1001"/>
        </w:numPr>
        <w:pStyle w:val="Compact"/>
      </w:pPr>
      <w:r>
        <w:t xml:space="preserve">Các hình mô tả bổ sung (phân bố pool theo năm, cơ cấu pool, mật độ năng suất, quy mô doanh nghiệp) lưu tại</w:t>
      </w:r>
      <w:r>
        <w:t xml:space="preserve"> </w:t>
      </w:r>
      <w:r>
        <w:rPr>
          <w:rStyle w:val="VerbatimChar"/>
        </w:rPr>
        <w:t xml:space="preserve">thesis/figures/</w:t>
      </w:r>
      <w:r>
        <w:t xml:space="preserve">.</w:t>
      </w:r>
    </w:p>
    <w:p>
      <w:r>
        <w:pict>
          <v:rect style="width:0;height:1.5pt" o:hralign="center" o:hrstd="t" o:hr="t"/>
        </w:pict>
      </w:r>
    </w:p>
    <w:bookmarkEnd w:id="29"/>
    <w:bookmarkStart w:id="30"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P1–P9) của nghiên cứu sinh. Các công trình được phân tách rõ theo trạng thái công bố.</w:t>
      </w:r>
    </w:p>
    <w:p>
      <w:pPr>
        <w:pStyle w:val="BodyText"/>
      </w:pPr>
      <w:r>
        <w:rPr>
          <w:bCs/>
          <w:b/>
        </w:rPr>
        <w:t xml:space="preserve">A. Đã công bố (peer-reviewed)</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(Cơ sở baseline meta-analysis,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prior author work.)</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upper-middle).</w:t>
      </w:r>
      <w:r>
        <w:t xml:space="preserve"> </w:t>
      </w:r>
      <w:r>
        <w:rPr>
          <w:iCs/>
          <w:i/>
        </w:rPr>
        <w:t xml:space="preserve">[Bản thảo đang bình duyệt.]</w:t>
      </w:r>
    </w:p>
    <w:p>
      <w:pPr>
        <w:numPr>
          <w:ilvl w:val="0"/>
          <w:numId w:val="1003"/>
        </w:numPr>
        <w:pStyle w:val="Compact"/>
      </w:pPr>
      <w:r>
        <w:t xml:space="preserve">Nghiên cứu thành phần P6, Meta-analysis ba tầng mở rộng 1982–2026.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(capstone).</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30"/>
    <w:bookmarkStart w:id="31" w:name="chương-1-giới-thiệu"/>
    <w:p>
      <w:pPr>
        <w:pStyle w:val="Heading1"/>
      </w:pPr>
      <w:r>
        <w:t xml:space="preserve">CHƯƠNG 1: GIỚI THIỆU</w:t>
      </w:r>
    </w:p>
    <w:bookmarkEnd w:id="31"/>
    <w:p>
      <w:r>
        <w:pict>
          <v:rect style="width:0;height:1.5pt" o:hralign="center" o:hrstd="t" o:hr="t"/>
        </w:pict>
      </w:r>
    </w:p>
    <w:bookmarkStart w:id="33"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institutional voids</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bookmarkStart w:id="32"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I–P với nhu cầu chính sách đương đại bằng một khung đa tầng và bằng chứng cấp doanh nghiệp quy mô lớn nhất từng có cho khu vực.</w:t>
      </w:r>
    </w:p>
    <w:p>
      <w:r>
        <w:pict>
          <v:rect style="width:0;height:1.5pt" o:hralign="center" o:hrstd="t" o:hr="t"/>
        </w:pict>
      </w:r>
    </w:p>
    <w:bookmarkEnd w:id="32"/>
    <w:bookmarkEnd w:id="33"/>
    <w:bookmarkStart w:id="34"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chiều sâu năng lực công nghệ nhập vào tổ chức, và digital adoption,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heterogeneity cao trong quan hệ I–P.</w:t>
      </w:r>
    </w:p>
    <w:p>
      <w:r>
        <w:pict>
          <v:rect style="width:0;height:1.5pt" o:hralign="center" o:hrstd="t" o:hr="t"/>
        </w:pict>
      </w:r>
    </w:p>
    <w:bookmarkEnd w:id="34"/>
    <w:bookmarkStart w:id="35"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(các biến điều tiết) chính giải thích heterogeneity trong văn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pool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5"/>
    <w:bookmarkStart w:id="36"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văn liệu 1982–2026 là gì, mức độ dị biệt ở mức nào, và những các biến điều tiết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đo bằng sub-regime ICRV,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36"/>
    <w:bookmarkStart w:id="40" w:name="đối-tượng-và-phạm-vi-nghiên-cứu"/>
    <w:p>
      <w:pPr>
        <w:pStyle w:val="Heading2"/>
      </w:pPr>
      <w:r>
        <w:t xml:space="preserve">1.5 Đối tượng và phạm vi nghiên cứu</w:t>
      </w:r>
    </w:p>
    <w:bookmarkStart w:id="37"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7"/>
    <w:bookmarkStart w:id="38"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sub-regime trong khung ICRV. Sáu sub-regime bao gồm: (i) Advanced Innovation-Driven, gồm Singapore, Hong Kong SAR, Hàn Quốc, Đài Loan, Israel và Nhật Bản; (ii) Advanced Resource-Driven, đại diện là các nền kinh tế GCC; (iii) Upper-middle, đại diện là Trung Quốc và Malaysia; (iv) Lower-middle transition, bao gồm Việt Nam và các nền kinh tế ASEAN đang phát triển; (v) Emerging,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I–P.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8"/>
    <w:bookmarkStart w:id="39" w:name="phạm-vi-thời-gian"/>
    <w:p>
      <w:pPr>
        <w:pStyle w:val="Heading3"/>
      </w:pPr>
      <w:r>
        <w:t xml:space="preserve">1.5.3 Phạm vi thời gian</w:t>
      </w:r>
    </w:p>
    <w:p>
      <w:pPr>
        <w:pStyle w:val="FirstParagraph"/>
      </w:pPr>
      <w:r>
        <w:t xml:space="preserve">Phạm vi thời gian của nghiên cứu có hai mức. Đối với phase meta-analysis, luận án tổng hợp văn liệu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2003–2025, bao gồm 88.869 doanh nghiệp với 103 cặp nền kinh tế-năm.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39"/>
    <w:bookmarkEnd w:id="40"/>
    <w:bookmarkStart w:id="41"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mixed synthesis-empirical, sự kết hợp giữa meta-analysis và phân tích thực nghiệm đa quốc gia,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biến điều tiết quan trọng trong văn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chữ U ngược và xác định điểm điểm uốn trong quan hệ phi tuyến (Haans et al., 2016; Lind &amp; Mehlum, 2010).</w:t>
      </w:r>
    </w:p>
    <w:p>
      <w:r>
        <w:pict>
          <v:rect style="width:0;height:1.5pt" o:hralign="center" o:hrstd="t" o:hr="t"/>
        </w:pict>
      </w:r>
    </w:p>
    <w:bookmarkEnd w:id="41"/>
    <w:bookmarkStart w:id="42" w:name="giả-thuyết-khoa-học-tóm-tắt"/>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được hiểu là proxy foundational digital adoption,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Emerging và SIDS extreme. Đặc điểm nhà quản trị cấp cao, cụ thể là kinh nghiệm quốc tế và đa dạng giới tính, điều tiết dương quan hệ I–P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2"/>
    <w:bookmarkStart w:id="46" w:name="ý-nghĩa-khoa-học-và-thực-tiễn"/>
    <w:p>
      <w:pPr>
        <w:pStyle w:val="Heading2"/>
      </w:pPr>
      <w:r>
        <w:t xml:space="preserve">1.8 Ý nghĩa khoa học và thực tiễn</w:t>
      </w:r>
    </w:p>
    <w:bookmarkStart w:id="43" w:name="đóng-góp-lý-thuyết"/>
    <w:p>
      <w:pPr>
        <w:pStyle w:val="Heading3"/>
      </w:pPr>
      <w:r>
        <w:t xml:space="preserve">1.8.1 Đóng góp lý thuyết</w:t>
      </w:r>
    </w:p>
    <w:p>
      <w:pPr>
        <w:pStyle w:val="FirstParagraph"/>
      </w:pPr>
      <w:r>
        <w:t xml:space="preserve">Về mặt lý thuyết, luận án đóng góp vào văn liệu kinh doanh quốc tế theo ba hướng chính. Hướng thứ nhất là tích hợp bốn lý thuyết kinh điển, Uppsala model, Resource-Based View, Institutional Theory và Upper Echelons Theory,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văn liệu về số hóa và quốc tế hóa. Hướng thứ ba là tái định vị Uppsala model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construct lý thuyết mới chưa được định danh trong văn liệu kinh doanh quốc tế, như điều kiện biên cực đoan của mô hình chữ U ngược khi cả ba tầng của khung CDCM (thể chế, năng lực, quản trị) đồng thời ở mức tối thiểu. Bằng chứng thực nghiệm từ bảy nền kinh tế Pacific SIDS xác nhận quan hệ âm đơn điệu không có điểm uốn, mở ra hướng nghiên cứu mới về điều kiện biên của lý thuyết quốc tế hóa.</w:t>
      </w:r>
    </w:p>
    <w:bookmarkEnd w:id="43"/>
    <w:bookmarkStart w:id="44"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văn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văn liệu kinh doanh quốc tế.</w:t>
      </w:r>
    </w:p>
    <w:bookmarkEnd w:id="44"/>
    <w:bookmarkStart w:id="45"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digital shield effect</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bookmarkEnd w:id="45"/>
    <w:bookmarkEnd w:id="46"/>
    <w:bookmarkStart w:id="47"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50 nền kinh tế, bao gồm cả 7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88.869 doanh nghiệp từ 50 nền kinh tế châu Á và Thái Bình Dương, mở rộng đáng kể từ pool 17 nước (nghiên cứu thành phần P1) là nền tảng hiện có lớn nhất trước khi luận án hoàn thành. Điểm mới thứ năm là kiểm định temporal stability của điểm uốn trong quan hệ I–P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bảy nền kinh tế Pacific SIDS, lần đầu tiên trong văn liệu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47"/>
    <w:bookmarkStart w:id="48"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meta-analysis cập nhật 1982–2026, phân tích theo bối cảnh quốc gia cụ thể, và phân tích đa quốc gia capstone trên pool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bảy nghiên cứu thành phần (P3–P9):</w:t>
      </w:r>
      <w:r>
        <w:t xml:space="preserve"> </w:t>
      </w:r>
      <w:r>
        <w:t xml:space="preserve">Luận án tích hợp bảy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level-shifter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Tier-1+2 khuếch đại đường cong I–P.</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boundary condition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xác nhận H1b tại bảy nền kinh tế Pacific SIDS.</w:t>
      </w:r>
      <w:r>
        <w:t xml:space="preserve"> </w:t>
      </w:r>
      <w:r>
        <w:rPr>
          <w:bCs/>
          <w:b/>
        </w:rPr>
        <w:t xml:space="preserve">P9</w:t>
      </w:r>
      <w:r>
        <w:t xml:space="preserve"> </w:t>
      </w:r>
      <w:r>
        <w:t xml:space="preserve">(Ấn Độ, MIR/IJOEM, đang bình duyệt): độ bền ngưỡng I–P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Tier-2/UPI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gradient thể chế, quan hệ I–P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technological capability index; DAI là chỉ số chấp nhận số (digital adoption index), được hiểu như proxy foundational digital adoption; ICRV là khung phân loại thể chế 6 nhóm được phát triển cho luận án này; WBES là World Bank Enterprise Surveys.</w:t>
      </w:r>
    </w:p>
    <w:p>
      <w:r>
        <w:br w:type="page"/>
      </w:r>
    </w:p>
    <w:bookmarkEnd w:id="48"/>
    <w:bookmarkStart w:id="81"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văn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3" w:name="các-khái-niệm-cốt-lõi"/>
    <w:p>
      <w:pPr>
        <w:pStyle w:val="Heading2"/>
      </w:pPr>
      <w:r>
        <w:t xml:space="preserve">2.1 Các khái niệm cốt lõi</w:t>
      </w:r>
    </w:p>
    <w:bookmarkStart w:id="49"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văn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49"/>
    <w:bookmarkStart w:id="50"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văn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50"/>
    <w:bookmarkStart w:id="51"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TCI) và chỉ số chấp nhận số (Digital Adoption Index, DAI). Trong nhiều nghiên cứu trước đây, hai construct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RBV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1"/>
    <w:bookmarkStart w:id="52"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(Advanced Innovation-Driven, gồm Singapore, Hong Kong SAR, Hàn Quốc, Đài Loan, Israel và Nhật Bản), Nhóm II (Advanced Resource-Driven, bao gồm các nền kinh tế vùng Vịnh), Nhóm III (Upper-middle, điển hình là Trung Quốc), Nhóm IV (Lower-middle transition, bao gồm Việt Nam và Ấn Độ), Nhóm V (Emerging),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52"/>
    <w:bookmarkEnd w:id="53"/>
    <w:bookmarkStart w:id="59" w:name="các-lý-thuyết-nền"/>
    <w:p>
      <w:pPr>
        <w:pStyle w:val="Heading2"/>
      </w:pPr>
      <w:r>
        <w:t xml:space="preserve">2.2 Các lý thuyết nền</w:t>
      </w:r>
    </w:p>
    <w:bookmarkStart w:id="54"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platform firms,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bookmarkEnd w:id="54"/>
    <w:bookmarkStart w:id="55"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(Tier-1 proxy) đo lường sự hiện diện website,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55"/>
    <w:bookmarkStart w:id="56"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văn liệu về I–P, bằng chứng meta-analytic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liability of foreignness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57"/>
    <w:bookmarkStart w:id="58"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Sự phân biệt giữa hai cấu trúc số có nền tảng đo lường vững chắc trong văn liệu. Bharadwaj et al. (2013) lập luận rằng năng lực công nghệ thông tin (IT capability) và chiến lược kinh doanh số (digital business strategy) có nomological nets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composite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I–P,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p>
      <w:r>
        <w:pict>
          <v:rect style="width:0;height:1.5pt" o:hralign="center" o:hrstd="t" o:hr="t"/>
        </w:pict>
      </w:r>
    </w:p>
    <w:bookmarkEnd w:id="58"/>
    <w:bookmarkEnd w:id="59"/>
    <w:bookmarkStart w:id="65" w:name="tổng-quan-thực-nghiệm"/>
    <w:p>
      <w:pPr>
        <w:pStyle w:val="Heading2"/>
      </w:pPr>
      <w:r>
        <w:t xml:space="preserve">2.3 Tổng quan thực nghiệm</w:t>
      </w:r>
    </w:p>
    <w:bookmarkStart w:id="60" w:name="giai-đoạn-phát-triển-của-văn-liệu-ip"/>
    <w:p>
      <w:pPr>
        <w:pStyle w:val="Heading3"/>
      </w:pPr>
      <w:r>
        <w:t xml:space="preserve">2.3.1 Giai đoạn phát triển của văn liệu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I–P.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kết quả quốc tế hóa phụ thuộc vào điều kiện cụ thể của doanh nghiệp, ngành và quốc gia (Arte &amp; Larimo, 2022).</w:t>
      </w:r>
    </w:p>
    <w:bookmarkEnd w:id="60"/>
    <w:bookmarkStart w:id="61" w:name="bằng-chứng-meta-analytic"/>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pool lên 154 mẫu và tìm thấy tác động tổng hợp tương tự, đồng thời xác nhận vai trò của bối cảnh quốc gia và ngành. Marano et al. (2016), nghiên cứu meta-analytic toàn diện nhất trong văn liệu với 170 nghiên cứu và 32 quốc gia, tìm thấy r ≈ 0,07–0,13 và chứng minh rằng thể chế quốc gia nguồn là biến điều tiết quan trọng nhất trong tất cả các biến bối cảnh được kiểm định. Wu et al. (2022) cập nhật với pool 218 effect sizes tập trung vào các emerging market multinationals (EMNEs) và tìm thấy mô hình biến điều tiết tương tự. Tại hội nghị ICBEF 2024, kết quả sơ bộ từ pool nghiên cứu về châu Á với k = 113 nghiên cứu cho thấy r = 0,07, nhất quán với các meta-analyses toàn cầu nhưng cụ thể hơn về bối cảnh châu Á. Luận án này mở rộng pool đó thông qua Nghiên cứu P6, một meta-analysis ba tầng (three-level MARA) với k = 238 nghiên cứu và K = 288 effect sizes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I–P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I–P. Ở cấp doanh nghiệp, Arbelo, Arbelo-Pérez và Pérez-Gómez (2024) chứng minh quan hệ I–P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bookmarkEnd w:id="61"/>
    <w:bookmarkStart w:id="62"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văn liệu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nghiên cứu thành phần P1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phát hiện được gọi là</w:t>
      </w:r>
      <w:r>
        <w:t xml:space="preserve"> </w:t>
      </w:r>
      <w:r>
        <w:t xml:space="preserve">“</w:t>
      </w:r>
      <w:r>
        <w:t xml:space="preserve">hiệu ứng lá chắn số</w:t>
      </w:r>
      <w:r>
        <w:t xml:space="preserve">”</w:t>
      </w:r>
      <w:r>
        <w:t xml:space="preserve"> </w:t>
      </w:r>
      <w:r>
        <w:t xml:space="preserve">(digital shield effect). Nghiên cứu thành phần P2 kiểm định cụ thể với dữ liệu doanh nghiệp Trung Quốc và tìm thấy cấu trúc cubic chữ U ngược với ngưỡng FSTS tối ưu khoảng 47,8%, tức điểm điểm uốn khá thấp so với các nền kinh tế tiên tiến. Luận án kế thừa và mở rộng các kết quả này trên pool đầy đủ 50 nền kinh tế (bao gồm 7 nền kinh tế đảo nhỏ Thái Bình Dương (mẫu chính; 9 nền khi mở rộng độ vững)).</w:t>
      </w:r>
    </w:p>
    <w:p>
      <w:pPr>
        <w:pStyle w:val="BodyText"/>
      </w:pPr>
      <w:r>
        <w:t xml:space="preserve">Phần lớn các nghiên cứu về I–P trong bối cảnh châu Á tập trung vào Nhật Bản, Hàn Quốc, Đài Loan, và Trung Quốc, trong khi các nền kinh tế chuyển đổi như Việt Nam, Campuchia, Bangladesh, và đặc biệt là các SIDS, về cơ bản thiếu vắng trong văn liệu.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62"/>
    <w:bookmarkStart w:id="63" w:name="X732d7d1b7e90f1451ce2bd542fd674aab0604d1"/>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bookmarkEnd w:id="63"/>
    <w:bookmarkStart w:id="64"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institutional-voids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4"/>
    <w:bookmarkEnd w:id="65"/>
    <w:bookmarkStart w:id="66"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biến điều tiết từ một lý thuyết đơn lẻ, không có khả năng giải thích đồng thời heterogeneity do bối cảnh thể chế, năng lực doanh nghiệp, và đặc điểm lãnh đạo tạo ra. Không có lý thuyết đơn lẻ nào, dù là Uppsala, RBV, Institutional Theory, hay Upper Echelons Theory,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văn liệu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văn liệu về I–P vẫn thiếu bằng chứng đa quốc gia bao quát đủ rộng để kiểm định khả năng tổng quát hóa của các lý thuyết. Pool 17 nước của nghiên cứu thành phần P1 là baseline lớn nhất hiện có trong văn liệu về châu Á, nhưng vẫn chưa bao gồm các nền kinh tế frontier và SIDS, những địa điểm cực kỳ quan trọng để kiểm định boundary conditions. Thiếu vắng các bằng chứng này khiến cho các lý thuyết về I–P, vốn được xây dựng chủ yếu trên dữ liệu từ Nhật Bản, Hàn Quốc, và các nền kinh tế tiên tiến,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(Country–Digital–Capability Moderation),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Văn liệu hiện tại chưa có bằng chứng kiểm định đồng thời năm biến điều tiết chính (TCI, DAI, kinh nghiệm quản trị, giới tính nhà quản trị, ICRV) trong một mô hình hồi quy đơn lẻ trên dữ liệu đa quốc gia quy mô lớn. Nghiên cứu thành phần P7 lấp đầy khoảng trống này bằng dữ liệu WBES từ 50 nền kinh tế (mẫu hồi quy M2 N = 81.022; N hồi quy mô hình đầy đủ = 79.080 sau loại bỏ listwise các biến điều tiết, 103 country-year waves), bao phủ toàn bộ gradient ICRV từ nhóm tiên tiến đến SIDS, kiểm định đồng thời H1–H6 với country-year fixed effects. Kết quả điểm uốn trung bình ~36% FSTS tại P7, thấp hơn P3 Vietnam (~40%) và P5 Trung Quốc (~49%), xác nhận ICRV điều tiết vị trí điểm uốn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Không có nghiên cứu nào trong văn liệu I–P hiện tại kiểm định</w:t>
      </w:r>
      <w:r>
        <w:t xml:space="preserve"> </w:t>
      </w:r>
      <w:r>
        <w:t xml:space="preserve">“</w:t>
      </w:r>
      <w:r>
        <w:t xml:space="preserve">Forced Internationalization Penalty</w:t>
      </w:r>
      <w:r>
        <w:t xml:space="preserve">”</w:t>
      </w:r>
      <w:r>
        <w:t xml:space="preserve"> </w:t>
      </w:r>
      <w:r>
        <w:t xml:space="preserve">(FIP), bối cảnh mà quốc tế hóa là gánh nặng sinh tồn, không phải lựa chọn chiến lược dựa trên lợi thế cạnh tranh. Nghiên cứu thành phần P8, Nghiên cứu P8, kiểm định H1b bằng dữ liệu WBES từ các nền kinh tế SIDS (Fiji, Papua New Guinea, Solomon Islands, Tonga, Vanuatu, Samoa, Kiribati), nơi ba điều kiện cấu trúc cơ bản của chữ U ngược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66"/>
    <w:bookmarkStart w:id="79" w:name="mô-hình-nghiên-cứu-và-hệ-giả-thuyết"/>
    <w:p>
      <w:pPr>
        <w:pStyle w:val="Heading2"/>
      </w:pPr>
      <w:r>
        <w:t xml:space="preserve">2.5 Mô hình nghiên cứu và hệ giả thuyết</w:t>
      </w:r>
    </w:p>
    <w:bookmarkStart w:id="70"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sub-regime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điểm uốn sang phải và kéo dài giai đoạn lợi ích dương của quan hệ I–P.</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3558086"/>
            <wp:effectExtent b="0" l="0" r="0" t="0"/>
            <wp:docPr descr="Hình 2.1. Khung khái niệm tích hợp đa tầng CDCM cho quan hệ Quốc tế hóa–Hiệu quả tại châu Á" title="" id="68" name="Picture"/>
            <a:graphic>
              <a:graphicData uri="http://schemas.openxmlformats.org/drawingml/2006/picture">
                <pic:pic>
                  <pic:nvPicPr>
                    <pic:cNvPr descr="figures/fig_2_1_cdcm_conceptual_model.png" id="69" name="Picture"/>
                    <pic:cNvPicPr>
                      <a:picLocks noChangeArrowheads="1" noChangeAspect="1"/>
                    </pic:cNvPicPr>
                  </pic:nvPicPr>
                  <pic:blipFill>
                    <a:blip r:embed="rId67"/>
                    <a:stretch>
                      <a:fillRect/>
                    </a:stretch>
                  </pic:blipFill>
                  <pic:spPr bwMode="auto">
                    <a:xfrm>
                      <a:off x="0" y="0"/>
                      <a:ext cx="5753100" cy="3558086"/>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70"/>
    <w:bookmarkStart w:id="71"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điểm uốn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chữ U ngược ban đầu của Hitt et al. (1997).</w:t>
      </w:r>
    </w:p>
    <w:bookmarkEnd w:id="71"/>
    <w:bookmarkStart w:id="72"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72"/>
    <w:bookmarkStart w:id="73" w:name="X4e283c765855921a9a0bf70a9d0a980f4bd502f"/>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điểm uốn. Cơ sở lý thuyết bao gồm Barney (1991), Teece et al. (1997), và Bhandari et al. (2023).</w:t>
      </w:r>
    </w:p>
    <w:bookmarkEnd w:id="73"/>
    <w:bookmarkStart w:id="74"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74"/>
    <w:bookmarkStart w:id="75" w:name="X23e235aa1540adf65664378accbc0b6a13fdffd"/>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hóa–hiệu quả (Phan, Do, &amp; Phan, 2020; Phan et al., 2021; Do &amp; Phan, 2025).</w:t>
      </w:r>
    </w:p>
    <w:bookmarkEnd w:id="75"/>
    <w:bookmarkStart w:id="76" w:name="X1090b4891c9abf48d7aab0f24d22e9d66d1b02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w:t>
      </w:r>
      <w:r>
        <w:t xml:space="preserve"> </w:t>
      </w:r>
      <w:r>
        <w:t xml:space="preserve">“</w:t>
      </w:r>
      <w:r>
        <w:t xml:space="preserve">lá chắn số</w:t>
      </w:r>
      <w:r>
        <w:t xml:space="preserve">”</w:t>
      </w:r>
      <w:r>
        <w:t xml:space="preserve"> </w:t>
      </w:r>
      <w:r>
        <w:t xml:space="preserve">(digital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76"/>
    <w:bookmarkStart w:id="77" w:name="Xef57ba07d4a873fdbd0fe03fe237e0edc9cc461"/>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cụ thể là vị trí của điểm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điểm uốn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77"/>
    <w:bookmarkStart w:id="78" w:name="Xf335a697a9ee7a16b4b110396196a58c357e907"/>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P1–P10),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chương,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Mục 2.3.2; Mục 4.2</w:t>
            </w:r>
          </w:p>
        </w:tc>
        <w:tc>
          <w:tcPr/>
          <w:p>
            <w:pPr>
              <w:pStyle w:val="Compact"/>
              <w:jc w:val="left"/>
            </w:pPr>
            <w:r>
              <w:t xml:space="preserve">Nền tảng cho H1, H5</w:t>
            </w:r>
          </w:p>
        </w:tc>
      </w:tr>
      <w:tr>
        <w:tc>
          <w:tcPr/>
          <w:p>
            <w:pPr>
              <w:pStyle w:val="Compact"/>
              <w:jc w:val="left"/>
            </w:pPr>
            <w:r>
              <w:t xml:space="preserve">P3: Việt Nam</w:t>
            </w:r>
          </w:p>
        </w:tc>
        <w:tc>
          <w:tcPr/>
          <w:p>
            <w:pPr>
              <w:pStyle w:val="Compact"/>
              <w:jc w:val="left"/>
            </w:pPr>
            <w:r>
              <w:t xml:space="preserve">Lower-middle transition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Advanced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Upper-middle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Meta-analysis ba tầng</w:t>
            </w:r>
          </w:p>
        </w:tc>
        <w:tc>
          <w:tcPr/>
          <w:p>
            <w:pPr>
              <w:pStyle w:val="Compact"/>
              <w:jc w:val="left"/>
            </w:pPr>
            <w:r>
              <w:t xml:space="preserve">Toàn bộ literature</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Capstone đa quốc gia (50 nền kinh tế)</w:t>
            </w:r>
          </w:p>
        </w:tc>
        <w:tc>
          <w:tcPr/>
          <w:p>
            <w:pPr>
              <w:pStyle w:val="Compact"/>
              <w:jc w:val="left"/>
            </w:pPr>
            <w:r>
              <w:t xml:space="preserve">Toàn bộ gradient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Pacific SIDS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Lower-middle transition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Advanced đổi mới (Nhóm I)</w:t>
            </w:r>
          </w:p>
        </w:tc>
        <w:tc>
          <w:tcPr/>
          <w:p>
            <w:pPr>
              <w:pStyle w:val="Compact"/>
              <w:jc w:val="left"/>
            </w:pPr>
            <w:r>
              <w:t xml:space="preserve">Mục 4.1.5</w:t>
            </w:r>
          </w:p>
        </w:tc>
        <w:tc>
          <w:tcPr/>
          <w:p>
            <w:pPr>
              <w:pStyle w:val="Compact"/>
              <w:jc w:val="left"/>
            </w:pPr>
            <w:r>
              <w:t xml:space="preserve">H1 (dự đoán biên trên: gần tuyến tính)</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78"/>
    <w:bookmarkEnd w:id="79"/>
    <w:bookmarkStart w:id="80"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Uppsala, RBV, Institutional Theory, và Upper Echelons Theory, cùng với lớp mở rộng Digital Capability Lens, xác định vai trò của từng lý thuyết trong khung giải thích tổng thể của luận án.</w:t>
      </w:r>
    </w:p>
    <w:p>
      <w:pPr>
        <w:pStyle w:val="BodyText"/>
      </w:pPr>
      <w:r>
        <w:t xml:space="preserve">Tổng quan thực nghiệm cho thấy văn liệu I–P đã phát triển qua ba giai đoạn, từ tuyến tính dương đến phi tuyến đến tập trung vào các biến điều tiết; các meta-analyses nhất quán cho thấy tác động tổng hợp là dương nhưng nhỏ với I² &gt; 80%, đòi hỏi cách tiếp cận biến điều tiết-centric; và bối cảnh châu Á, đặc biệt là các nền kinh tế frontier và SIDS, đang thiếu đại diện nghiêm trọng trong văn liệu.</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p>
      <w:r>
        <w:br w:type="page"/>
      </w:r>
    </w:p>
    <w:bookmarkEnd w:id="80"/>
    <w:bookmarkEnd w:id="81"/>
    <w:bookmarkStart w:id="82" w:name="chương-3-phương-pháp-nghiên-cứu"/>
    <w:p>
      <w:pPr>
        <w:pStyle w:val="Heading1"/>
      </w:pPr>
      <w:r>
        <w:t xml:space="preserve">CHƯƠNG 3: PHƯƠNG PHÁP NGHIÊN CỨU</w:t>
      </w:r>
    </w:p>
    <w:bookmarkEnd w:id="82"/>
    <w:p>
      <w:r>
        <w:pict>
          <v:rect style="width:0;height:1.5pt" o:hralign="center" o:hrstd="t" o:hr="t"/>
        </w:pict>
      </w:r>
    </w:p>
    <w:bookmarkStart w:id="85" w:name="thiết-kế-nghiên-cứu-tổng-thể"/>
    <w:p>
      <w:pPr>
        <w:pStyle w:val="Heading2"/>
      </w:pPr>
      <w:r>
        <w:t xml:space="preserve">3.1 Thiết kế nghiên cứu tổng thể</w:t>
      </w:r>
    </w:p>
    <w:bookmarkStart w:id="83"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văn liệu để trả lời RQ1, còn phase thứ hai là phân tích thực nghiệm doanh nghiệp đa quốc gia để trả lời RQ2–RQ4. Hai phase đối thoại hai chiều: meta cung cấp baseline và gợi ý biến điều tiết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phase. Quy mô 50 nền kinh tế/88.869 doanh nghiệp là phạm vi địa lý lớn nhất từng có cho khu vực, mở rộng từ pool 17 nước trong nghiên cứu thành phần P1.</w:t>
      </w:r>
    </w:p>
    <w:bookmarkEnd w:id="83"/>
    <w:bookmarkStart w:id="84"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50 nền kinh tế châu Á và Thái Bình Dương</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84"/>
    <w:bookmarkEnd w:id="85"/>
    <w:bookmarkStart w:id="89" w:name="phase-1-meta-analysis-19822026"/>
    <w:p>
      <w:pPr>
        <w:pStyle w:val="Heading2"/>
      </w:pPr>
      <w:r>
        <w:t xml:space="preserve">3.2 Phase 1: Meta-analysis 1982–2026</w:t>
      </w:r>
    </w:p>
    <w:bookmarkStart w:id="86"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chuyển dạng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86"/>
    <w:bookmarkStart w:id="87"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4"/>
        </w:numPr>
        <w:pStyle w:val="Compact"/>
      </w:pPr>
      <w:r>
        <w:rPr>
          <w:bCs/>
          <w:b/>
        </w:rPr>
        <w:t xml:space="preserve">Mở rộng biến điều tiết coverage</w:t>
      </w:r>
      <w:r>
        <w:t xml:space="preserve">: thêm cụm biến điều tiết về digital capability và 6 sub-regime ICRV, chưa được xem xét đầy đủ trong các meta-analyses trước.</w:t>
      </w:r>
    </w:p>
    <w:p>
      <w:pPr>
        <w:numPr>
          <w:ilvl w:val="0"/>
          <w:numId w:val="1004"/>
        </w:numPr>
        <w:pStyle w:val="Compact"/>
      </w:pPr>
      <w:r>
        <w:rPr>
          <w:bCs/>
          <w:b/>
        </w:rPr>
        <w:t xml:space="preserve">Tập tổng hợp</w:t>
      </w:r>
      <w:r>
        <w:t xml:space="preserve">: K=288 effect sizes / k=238 nghiên cứu, được xây dựng theo chiến lược tìm kiếm hệ thống nhưng có giới hạn (citation-anchored: backward/forward citation từ 5 meta-analysis mỏ neo + bổ sung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nghiên cứu thành phần P1.</w:t>
      </w:r>
    </w:p>
    <w:bookmarkEnd w:id="87"/>
    <w:bookmarkStart w:id="88" w:name="quy-trình-prisma"/>
    <w:p>
      <w:pPr>
        <w:pStyle w:val="Heading3"/>
      </w:pPr>
      <w:r>
        <w:t xml:space="preserve">3.2.3 Quy trình PRISMA</w:t>
      </w:r>
    </w:p>
    <w:p>
      <w:pPr>
        <w:pStyle w:val="FirstParagraph"/>
      </w:pPr>
      <w:r>
        <w:t xml:space="preserve">Identification, Screening, Eligibility,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88"/>
    <w:bookmarkEnd w:id="89"/>
    <w:bookmarkStart w:id="98" w:name="X8de0b19c054d402e314fef9726425749df3fc18"/>
    <w:p>
      <w:pPr>
        <w:pStyle w:val="Heading2"/>
      </w:pPr>
      <w:r>
        <w:t xml:space="preserve">3.3 Phase 2: Phân tích thực nghiệm đa quốc gia</w:t>
      </w:r>
    </w:p>
    <w:bookmarkStart w:id="90"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2003–2025</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firm-level outcomes (Aterido et al., 2011). Quy trình hợp nhất và hài hòa hóa chi tiết các bộ khảo sát quốc gia–năm thành bộ dữ liệu phân tích thống nhất (sáu bước S1–S6, xử lý tính so sánh tiền tệ, chiến lược pooled cross-section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sub-regime ICRV (Advanced innovation-driven, Advanced resource-driven, Upper-middle, Lower-middle transition, Emerging, SIDS). Quy mô này là lớn nhất cho khu vực trong văn liệu internationalization–performance, gồm cả boundary case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văn liệu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0"/>
    <w:bookmarkStart w:id="91"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văn liệu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construct</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văn liệu I–P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 Chương 2).</w:t>
      </w:r>
    </w:p>
    <w:bookmarkEnd w:id="91"/>
    <w:bookmarkStart w:id="92"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văn liệu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nghiên cứu thành phần P2 xác nhận có ý nghĩa thống kê ở Trung Quốc với điểm uốn ~47,8% FSTS, làm baseline cho việc kiểm định mở rộng trong luận án.</w:t>
      </w:r>
    </w:p>
    <w:bookmarkEnd w:id="92"/>
    <w:bookmarkStart w:id="96" w:name="đo-lường-biến-điều-tiết"/>
    <w:p>
      <w:pPr>
        <w:pStyle w:val="Heading3"/>
      </w:pPr>
      <w:r>
        <w:t xml:space="preserve">3.3.4 Đo lường biến điều tiết</w:t>
      </w:r>
    </w:p>
    <w:bookmarkStart w:id="93"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5"/>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5"/>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Biến thể đo lường (thin/full).</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composite formative:</w:t>
      </w:r>
    </w:p>
    <w:p>
      <w:pPr>
        <w:numPr>
          <w:ilvl w:val="0"/>
          <w:numId w:val="1006"/>
        </w:numPr>
        <w:pStyle w:val="Compact"/>
      </w:pPr>
      <w:r>
        <w:rPr>
          <w:bCs/>
          <w:b/>
        </w:rPr>
        <w:t xml:space="preserve">TCI_thin</w:t>
      </w:r>
      <w:r>
        <w:t xml:space="preserve"> </w:t>
      </w:r>
      <w:r>
        <w:t xml:space="preserve">= z-std của trung bình hai mục cốt lõi: chứng chỉ chất lượng quốc tế (b8) và cấp phép công nghệ nước ngoài (e6). Dùng trong các nghiên cứu Việt Nam (P3), Singapore (P4), đa quốc gia (P7) và Pacific SIDS (P8).</w:t>
      </w:r>
    </w:p>
    <w:p>
      <w:pPr>
        <w:numPr>
          <w:ilvl w:val="0"/>
          <w:numId w:val="1006"/>
        </w:numPr>
        <w:pStyle w:val="Compact"/>
      </w:pPr>
      <w:r>
        <w:rPr>
          <w:bCs/>
          <w:b/>
        </w:rPr>
        <w:t xml:space="preserve">TCI_full</w:t>
      </w:r>
      <w:r>
        <w:t xml:space="preserve"> </w:t>
      </w:r>
      <w:r>
        <w:t xml:space="preserve">= z-std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thin và full phản ánh ràng buộc khả dụng dữ liệu khách quan, không phải lựa chọn tùy ý. Vì các mục là chỉ báo nhị phân của cùng một construct formative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(pipeline raw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thin nêu trên.</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50 nền kinh tế châu Á và Thái Bình Dương, với pipeline hòa hợp 3 thế hệ schema. Phân tách TCI và DAI theo (i) Bharadwaj et al. (2013), IT capability vs digital business strategy có nomological nets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đảm bảo TCI và DAI là hai composite độc lập.</w:t>
      </w:r>
    </w:p>
    <w:bookmarkEnd w:id="93"/>
    <w:bookmarkStart w:id="94"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các biến điều tiết.</w:t>
      </w:r>
    </w:p>
    <w:bookmarkEnd w:id="94"/>
    <w:bookmarkStart w:id="95"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95"/>
    <w:bookmarkEnd w:id="96"/>
    <w:bookmarkStart w:id="97"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97"/>
    <w:bookmarkEnd w:id="98"/>
    <w:bookmarkStart w:id="113" w:name="mô-hình-phân-tích"/>
    <w:p>
      <w:pPr>
        <w:pStyle w:val="Heading2"/>
      </w:pPr>
      <w:r>
        <w:t xml:space="preserve">3.4 Mô hình phân tích</w:t>
      </w:r>
    </w:p>
    <w:bookmarkStart w:id="99"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các biến điều tiết.</w:t>
      </w:r>
    </w:p>
    <w:p>
      <w:pPr>
        <w:pStyle w:val="BodyText"/>
      </w:pPr>
      <w:r>
        <w:rPr>
          <w:bCs/>
          <w:b/>
        </w:rPr>
        <w:t xml:space="preserve">Cơ sở kế thừa</w:t>
      </w:r>
      <w:r>
        <w:t xml:space="preserve">: chuẩn meta-analysis trong quản trị chiến lược (Combs et al., 2011; Aguinis et al., 2011).</w:t>
      </w:r>
    </w:p>
    <w:bookmarkEnd w:id="99"/>
    <w:bookmarkStart w:id="100"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00"/>
    <w:bookmarkStart w:id="101"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cubic specification ở China với điểm uốn ~47,8% FSTS.</w:t>
      </w:r>
    </w:p>
    <w:p>
      <w:pPr>
        <w:pStyle w:val="BodyText"/>
      </w:pPr>
      <w:r>
        <w:rPr>
          <w:bCs/>
          <w:b/>
        </w:rPr>
        <w:t xml:space="preserve">Lind–Mehlum U-test</w:t>
      </w:r>
      <w:r>
        <w:t xml:space="preserve"> </w:t>
      </w:r>
      <w:r>
        <w:t xml:space="preserve">(Lind &amp; Mehlum, 2010; Haans et al., 2016) để xác nhận chặt chữ U ngược: kiểm định slope dương ở bên trái và slope âm ở bên phải của domain</w:t>
      </w:r>
      <w:r>
        <w:t xml:space="preserve"> </w:t>
      </w:r>
      <m:oMath>
        <m:r>
          <m:t>F</m:t>
        </m:r>
        <m:r>
          <m:t>S</m:t>
        </m:r>
        <m:r>
          <m:t>T</m:t>
        </m:r>
        <m:r>
          <m:t>S</m:t>
        </m:r>
      </m:oMath>
      <w:r>
        <w:t xml:space="preserve">.</w:t>
      </w:r>
    </w:p>
    <w:bookmarkEnd w:id="101"/>
    <w:bookmarkStart w:id="104" w:name="mô-hình-moderation-h2h6"/>
    <w:p>
      <w:pPr>
        <w:pStyle w:val="Heading3"/>
      </w:pPr>
      <w:r>
        <w:t xml:space="preserve">3.4.4 Mô hình moderation (H2–H6)</w:t>
      </w:r>
    </w:p>
    <w:bookmarkStart w:id="102"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02"/>
    <w:bookmarkStart w:id="103"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50 nước chưa được kiểm định trước đây.</w:t>
      </w:r>
    </w:p>
    <w:bookmarkEnd w:id="103"/>
    <w:bookmarkEnd w:id="104"/>
    <w:bookmarkStart w:id="105"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baseline cubic 2012.</w:t>
      </w:r>
    </w:p>
    <w:p>
      <w:pPr>
        <w:pStyle w:val="BodyText"/>
      </w:pPr>
      <w:r>
        <w:rPr>
          <w:bCs/>
          <w:b/>
        </w:rPr>
        <w:t xml:space="preserve">Đóng góp mới</w:t>
      </w:r>
      <w:r>
        <w:t xml:space="preserve">: áp dụng cho China 2012 và 2024 để kiểm định stability của cubic điểm uốn (~47,8% FSTS) sau hơn một thập kỷ chuyển đổi số.</w:t>
      </w:r>
    </w:p>
    <w:bookmarkEnd w:id="105"/>
    <w:bookmarkStart w:id="106"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7"/>
        </w:numPr>
        <w:pStyle w:val="Compact"/>
      </w:pPr>
      <w:r>
        <w:rPr>
          <w:bCs/>
          <w:b/>
        </w:rPr>
        <w:t xml:space="preserve">lnNSLD_it</w:t>
      </w:r>
      <w:r>
        <w:t xml:space="preserve"> </w:t>
      </w:r>
      <w:r>
        <w:t xml:space="preserve">= lnLP_it: log năng suất lao động (ln doanh thu PPP / lao động thường xuyên)</w:t>
      </w:r>
    </w:p>
    <w:p>
      <w:pPr>
        <w:numPr>
          <w:ilvl w:val="0"/>
          <w:numId w:val="1007"/>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7"/>
        </w:numPr>
        <w:pStyle w:val="Compact"/>
      </w:pPr>
      <w:r>
        <w:rPr>
          <w:bCs/>
          <w:b/>
        </w:rPr>
        <w:t xml:space="preserve">CDDXK_c²_it</w:t>
      </w:r>
      <w:r>
        <w:t xml:space="preserve"> </w:t>
      </w:r>
      <w:r>
        <w:t xml:space="preserve">= FSTS_c²_it: bình phương cường độ xuất khẩu điều chỉnh</w:t>
      </w:r>
    </w:p>
    <w:p>
      <w:pPr>
        <w:numPr>
          <w:ilvl w:val="0"/>
          <w:numId w:val="1007"/>
        </w:numPr>
        <w:pStyle w:val="Compact"/>
      </w:pPr>
      <w:r>
        <w:rPr>
          <w:bCs/>
          <w:b/>
        </w:rPr>
        <w:t xml:space="preserve">NLCN_z_it</w:t>
      </w:r>
      <w:r>
        <w:t xml:space="preserve"> </w:t>
      </w:r>
      <w:r>
        <w:t xml:space="preserve">= TCI_z_it: năng lực công nghệ (chuẩn hoá z trong sóng)</w:t>
      </w:r>
    </w:p>
    <w:p>
      <w:pPr>
        <w:numPr>
          <w:ilvl w:val="0"/>
          <w:numId w:val="1007"/>
        </w:numPr>
        <w:pStyle w:val="Compact"/>
      </w:pPr>
      <w:r>
        <w:rPr>
          <w:bCs/>
          <w:b/>
        </w:rPr>
        <w:t xml:space="preserve">CSS_z_it</w:t>
      </w:r>
      <w:r>
        <w:t xml:space="preserve"> </w:t>
      </w:r>
      <w:r>
        <w:t xml:space="preserve">= DAI_z_it: chỉ số số hoá cơ sở, Tier-1 (chuẩn hoá z trong sóng)</w:t>
      </w:r>
    </w:p>
    <w:p>
      <w:pPr>
        <w:numPr>
          <w:ilvl w:val="0"/>
          <w:numId w:val="1007"/>
        </w:numPr>
        <w:pStyle w:val="Compact"/>
      </w:pPr>
      <w:r>
        <w:rPr>
          <w:bCs/>
          <w:b/>
        </w:rPr>
        <w:t xml:space="preserve">lnLD, TuoiDN, SoHuuNuocNgoai</w:t>
      </w:r>
      <w:r>
        <w:t xml:space="preserve">: kiểm soát quy mô, tuổi, sở hữu</w:t>
      </w:r>
    </w:p>
    <w:p>
      <w:pPr>
        <w:numPr>
          <w:ilvl w:val="0"/>
          <w:numId w:val="1007"/>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06"/>
    <w:bookmarkStart w:id="107"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8"/>
        </w:numPr>
        <w:pStyle w:val="Compact"/>
      </w:pPr>
      <w:r>
        <w:rPr>
          <w:bCs/>
          <w:b/>
        </w:rPr>
        <w:t xml:space="preserve">lnNSLD_i</w:t>
      </w:r>
      <w:r>
        <w:t xml:space="preserve"> </w:t>
      </w:r>
      <w:r>
        <w:t xml:space="preserve">= lnLP_i: log năng suất lao động (ln doanh thu PPP / lao động thường xuyên)</w:t>
      </w:r>
    </w:p>
    <w:p>
      <w:pPr>
        <w:numPr>
          <w:ilvl w:val="0"/>
          <w:numId w:val="1008"/>
        </w:numPr>
        <w:pStyle w:val="Compact"/>
      </w:pPr>
      <w:r>
        <w:rPr>
          <w:bCs/>
          <w:b/>
        </w:rPr>
        <w:t xml:space="preserve">CDDXK_i</w:t>
      </w:r>
      <w:r>
        <w:t xml:space="preserve"> </w:t>
      </w:r>
      <w:r>
        <w:t xml:space="preserve">= FSTS_i: cường độ xuất khẩu trực tiếp (d3c / 100)</w:t>
      </w:r>
    </w:p>
    <w:p>
      <w:pPr>
        <w:numPr>
          <w:ilvl w:val="0"/>
          <w:numId w:val="1008"/>
        </w:numPr>
        <w:pStyle w:val="Compact"/>
      </w:pPr>
      <w:r>
        <w:rPr>
          <w:bCs/>
          <w:b/>
        </w:rPr>
        <w:t xml:space="preserve">CDDXK_c_i</w:t>
      </w:r>
      <w:r>
        <w:t xml:space="preserve"> </w:t>
      </w:r>
      <w:r>
        <w:t xml:space="preserve">= FSTS_c_i: CDDXK trung bình mẫu; CDDXK_c² là bình phương</w:t>
      </w:r>
    </w:p>
    <w:p>
      <w:pPr>
        <w:numPr>
          <w:ilvl w:val="0"/>
          <w:numId w:val="1008"/>
        </w:numPr>
        <w:pStyle w:val="Compact"/>
      </w:pPr>
      <w:r>
        <w:rPr>
          <w:bCs/>
          <w:b/>
        </w:rPr>
        <w:t xml:space="preserve">NLCN_z_i</w:t>
      </w:r>
      <w:r>
        <w:t xml:space="preserve"> </w:t>
      </w:r>
      <w:r>
        <w:t xml:space="preserve">= TCI_z_i: năng lực công nghệ, z-std của trung bình(b8₀₁, e6₀₁)</w:t>
      </w:r>
    </w:p>
    <w:p>
      <w:pPr>
        <w:numPr>
          <w:ilvl w:val="0"/>
          <w:numId w:val="1008"/>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8"/>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8"/>
        </w:numPr>
        <w:pStyle w:val="Compact"/>
      </w:pPr>
      <w:r>
        <w:rPr>
          <w:bCs/>
          <w:b/>
        </w:rPr>
        <w:t xml:space="preserve">δ_s</w:t>
      </w:r>
      <w:r>
        <w:t xml:space="preserve">: sector fixed effects (ISIC 1-chữ số)</w:t>
      </w:r>
    </w:p>
    <w:p>
      <w:pPr>
        <w:numPr>
          <w:ilvl w:val="0"/>
          <w:numId w:val="1008"/>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107"/>
    <w:bookmarkStart w:id="108"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9"/>
        </w:numPr>
        <w:pStyle w:val="Compact"/>
      </w:pPr>
      <w:r>
        <w:rPr>
          <w:bCs/>
          <w:b/>
        </w:rPr>
        <w:t xml:space="preserve">lnNSLD_it</w:t>
      </w:r>
      <w:r>
        <w:t xml:space="preserve"> </w:t>
      </w:r>
      <w:r>
        <w:t xml:space="preserve">= lnLP_it: log năng suất lao động (biến phụ thuộc)</w:t>
      </w:r>
    </w:p>
    <w:p>
      <w:pPr>
        <w:numPr>
          <w:ilvl w:val="0"/>
          <w:numId w:val="1009"/>
        </w:numPr>
        <w:pStyle w:val="Compact"/>
      </w:pPr>
      <w:r>
        <w:rPr>
          <w:bCs/>
          <w:b/>
        </w:rPr>
        <w:t xml:space="preserve">CDDXK_c_it</w:t>
      </w:r>
      <w:r>
        <w:t xml:space="preserve"> </w:t>
      </w:r>
      <w:r>
        <w:t xml:space="preserve">= FSTS_c_it: cường độ xuất khẩu centred theo trung bình sóng</w:t>
      </w:r>
    </w:p>
    <w:p>
      <w:pPr>
        <w:numPr>
          <w:ilvl w:val="0"/>
          <w:numId w:val="1009"/>
        </w:numPr>
        <w:pStyle w:val="Compact"/>
      </w:pPr>
      <w:r>
        <w:rPr>
          <w:bCs/>
          <w:b/>
        </w:rPr>
        <w:t xml:space="preserve">NLCN_z_it</w:t>
      </w:r>
      <w:r>
        <w:t xml:space="preserve"> </w:t>
      </w:r>
      <w:r>
        <w:t xml:space="preserve">= TCI_full_z_it: năng lực công nghệ toàn diện, z-std của TB(b8₀₁, e6₀₁, h1₀₁, h8₀₁); mở rộng hơn P3</w:t>
      </w:r>
    </w:p>
    <w:p>
      <w:pPr>
        <w:numPr>
          <w:ilvl w:val="0"/>
          <w:numId w:val="1009"/>
        </w:numPr>
        <w:pStyle w:val="Compact"/>
      </w:pPr>
      <w:r>
        <w:rPr>
          <w:bCs/>
          <w:b/>
        </w:rPr>
        <w:t xml:space="preserve">CSS_z_it</w:t>
      </w:r>
      <w:r>
        <w:t xml:space="preserve"> </w:t>
      </w:r>
      <w:r>
        <w:t xml:space="preserve">= DAI_core_it: chỉ số số hoá cơ bản, chỉ c22b₀₁ (Tier-1 mỏng, single-item binary)</w:t>
      </w:r>
    </w:p>
    <w:p>
      <w:pPr>
        <w:numPr>
          <w:ilvl w:val="0"/>
          <w:numId w:val="1009"/>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9"/>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z-std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108"/>
    <w:bookmarkStart w:id="111" w:name="Xef1ee77b66ccd9962e55365d60bd74be93a9b17"/>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10"/>
        </w:numPr>
        <w:pStyle w:val="Compact"/>
      </w:pPr>
      <w:r>
        <w:rPr>
          <w:bCs/>
          <w:b/>
        </w:rPr>
        <w:t xml:space="preserve">lnNSLD_it</w:t>
      </w:r>
      <w:r>
        <w:t xml:space="preserve">: ln(năng suất lao động) = ln(doanh thu / lao động thường trực), biến phụ thuộc</w:t>
      </w:r>
    </w:p>
    <w:p>
      <w:pPr>
        <w:numPr>
          <w:ilvl w:val="0"/>
          <w:numId w:val="1010"/>
        </w:numPr>
        <w:pStyle w:val="Compact"/>
      </w:pPr>
      <w:r>
        <w:rPr>
          <w:bCs/>
          <w:b/>
        </w:rPr>
        <w:t xml:space="preserve">CDDXK_c_it</w:t>
      </w:r>
      <w:r>
        <w:t xml:space="preserve">: cường độ xuất khẩu mean-centred, FSTS_c = (d3c/100) − mean_pool(FSTS)</w:t>
      </w:r>
    </w:p>
    <w:p>
      <w:pPr>
        <w:numPr>
          <w:ilvl w:val="0"/>
          <w:numId w:val="1010"/>
        </w:numPr>
        <w:pStyle w:val="Compact"/>
      </w:pPr>
      <w:r>
        <w:rPr>
          <w:bCs/>
          <w:b/>
        </w:rPr>
        <w:t xml:space="preserve">CDDXK_c²_it</w:t>
      </w:r>
      <w:r>
        <w:t xml:space="preserve">: CDDXK_c bình phương, kiểm định phi tuyến</w:t>
      </w:r>
    </w:p>
    <w:p>
      <w:pPr>
        <w:numPr>
          <w:ilvl w:val="0"/>
          <w:numId w:val="1010"/>
        </w:numPr>
        <w:pStyle w:val="Compact"/>
      </w:pPr>
      <w:r>
        <w:rPr>
          <w:bCs/>
          <w:b/>
        </w:rPr>
        <w:t xml:space="preserve">NLCN_z_it</w:t>
      </w:r>
      <w:r>
        <w:t xml:space="preserve">: năng lực công nghệ z-standardised, TCI_z = z-std(b8, e6)</w:t>
      </w:r>
    </w:p>
    <w:p>
      <w:pPr>
        <w:numPr>
          <w:ilvl w:val="0"/>
          <w:numId w:val="1010"/>
        </w:numPr>
        <w:pStyle w:val="Compact"/>
      </w:pPr>
      <w:r>
        <w:rPr>
          <w:bCs/>
          <w:b/>
        </w:rPr>
        <w:t xml:space="preserve">CSS_z_it</w:t>
      </w:r>
      <w:r>
        <w:t xml:space="preserve">: chỉ số số hoá z-standardised, DAI_z = z-std(website + e-pay, Tier 1+2: c22b/e1, k33)</w:t>
      </w:r>
    </w:p>
    <w:p>
      <w:pPr>
        <w:numPr>
          <w:ilvl w:val="0"/>
          <w:numId w:val="1010"/>
        </w:numPr>
        <w:pStyle w:val="Compact"/>
      </w:pPr>
      <w:r>
        <w:rPr>
          <w:bCs/>
          <w:b/>
        </w:rPr>
        <w:t xml:space="preserve">KNQLy_it</w:t>
      </w:r>
      <w:r>
        <w:t xml:space="preserve">: kinh nghiệm nhà quản lý trong ngành (năm, b7)</w:t>
      </w:r>
    </w:p>
    <w:p>
      <w:pPr>
        <w:numPr>
          <w:ilvl w:val="0"/>
          <w:numId w:val="1010"/>
        </w:numPr>
        <w:pStyle w:val="Compact"/>
      </w:pPr>
      <w:r>
        <w:rPr>
          <w:bCs/>
          <w:b/>
        </w:rPr>
        <w:t xml:space="preserve">NQL_nu_it</w:t>
      </w:r>
      <w:r>
        <w:t xml:space="preserve">: top manager là nữ (binary, b7a/b6a)</w:t>
      </w:r>
    </w:p>
    <w:p>
      <w:pPr>
        <w:numPr>
          <w:ilvl w:val="0"/>
          <w:numId w:val="1010"/>
        </w:numPr>
        <w:pStyle w:val="Compact"/>
      </w:pPr>
      <w:r>
        <w:rPr>
          <w:bCs/>
          <w:b/>
        </w:rPr>
        <w:t xml:space="preserve">ICRV_j</w:t>
      </w:r>
      <w:r>
        <w:t xml:space="preserve">: phân loại chế độ thể chế ICRV (integer 1–6, Advanced sang SIDS)</w:t>
      </w:r>
    </w:p>
    <w:p>
      <w:pPr>
        <w:numPr>
          <w:ilvl w:val="0"/>
          <w:numId w:val="1010"/>
        </w:numPr>
        <w:pStyle w:val="Compact"/>
      </w:pPr>
      <w:r>
        <w:rPr>
          <w:bCs/>
          <w:b/>
        </w:rPr>
        <w:t xml:space="preserve">lnLD_it</w:t>
      </w:r>
      <w:r>
        <w:t xml:space="preserve">: ln(lao động thường trực), kiểm soát quy mô doanh nghiệp</w:t>
      </w:r>
    </w:p>
    <w:p>
      <w:pPr>
        <w:numPr>
          <w:ilvl w:val="0"/>
          <w:numId w:val="1010"/>
        </w:numPr>
        <w:pStyle w:val="Compact"/>
      </w:pPr>
      <w:r>
        <w:rPr>
          <w:bCs/>
          <w:b/>
        </w:rPr>
        <w:t xml:space="preserve">TuoiDN_it</w:t>
      </w:r>
      <w:r>
        <w:t xml:space="preserve">: tuổi doanh nghiệp (năm_khảo_sát − b5)</w:t>
      </w:r>
    </w:p>
    <w:p>
      <w:pPr>
        <w:numPr>
          <w:ilvl w:val="0"/>
          <w:numId w:val="1010"/>
        </w:numPr>
        <w:pStyle w:val="Compact"/>
      </w:pPr>
      <w:r>
        <w:rPr>
          <w:bCs/>
          <w:b/>
        </w:rPr>
        <w:t xml:space="preserve">SoHuuNN_it</w:t>
      </w:r>
      <w:r>
        <w:t xml:space="preserve">: tỷ lệ sở hữu nước ngoài (b6a/100)</w:t>
      </w:r>
    </w:p>
    <w:p>
      <w:pPr>
        <w:numPr>
          <w:ilvl w:val="0"/>
          <w:numId w:val="1010"/>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nor/>
              <m:sty m:val="p"/>
            </m:rPr>
            <m:t>, 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(ba vùng): 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r>
            <m:rPr>
              <m:nor/>
              <m:sty m:val="p"/>
            </m:rPr>
            <m:t> gần tuyến tính ở Nhóm I; tan rã ở Nhóm V–VI</m:t>
          </m:r>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r>
            <m:rPr>
              <m:nor/>
              <m:sty m:val="p"/>
            </m:rPr>
            <m:t> 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109" w:name="X2f7897a1357dc715f37e320d2cca3ed5f2bb32c"/>
    <w:p>
      <w:pPr>
        <w:pStyle w:val="Heading4"/>
      </w:pPr>
      <w:r>
        <w:t xml:space="preserve">3.4.5.5 Mô hình cụ thể: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biến điều tiết uốn đường cong (H2 moderation null)</m:t>
          </m:r>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Exporters-only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exporters-only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109"/>
    <w:bookmarkStart w:id="110"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110"/>
    <w:bookmarkEnd w:id="111"/>
    <w:bookmarkStart w:id="112"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112"/>
    <w:bookmarkEnd w:id="113"/>
    <w:bookmarkStart w:id="120" w:name="kiểm-định-độ-vững"/>
    <w:p>
      <w:pPr>
        <w:pStyle w:val="Heading2"/>
      </w:pPr>
      <w:r>
        <w:t xml:space="preserve">3.5 Kiểm định độ vững</w:t>
      </w:r>
    </w:p>
    <w:bookmarkStart w:id="114" w:name="thay-đổi-thước-đo"/>
    <w:p>
      <w:pPr>
        <w:pStyle w:val="Heading3"/>
      </w:pPr>
      <w:r>
        <w:t xml:space="preserve">3.5.1 Thay đổi thước đo</w:t>
      </w:r>
    </w:p>
    <w:p>
      <w:pPr>
        <w:numPr>
          <w:ilvl w:val="0"/>
          <w:numId w:val="1011"/>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11"/>
        </w:numPr>
        <w:pStyle w:val="Compact"/>
      </w:pPr>
      <w:r>
        <w:t xml:space="preserve">Biến độc lập: thay FSTS bằng export status (binary), foreign sales count.</w:t>
      </w:r>
    </w:p>
    <w:p>
      <w:pPr>
        <w:numPr>
          <w:ilvl w:val="0"/>
          <w:numId w:val="1011"/>
        </w:numPr>
        <w:pStyle w:val="Compact"/>
      </w:pPr>
      <w:r>
        <w:t xml:space="preserve">Biến biến điều tiết: thay DAI_thin bằng DAI_rich (cho subset 2024+).</w:t>
      </w:r>
    </w:p>
    <w:bookmarkEnd w:id="114"/>
    <w:bookmarkStart w:id="115"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115"/>
    <w:bookmarkStart w:id="116"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116"/>
    <w:bookmarkStart w:id="117" w:name="multicollinearity-và-heteroscedasticity"/>
    <w:p>
      <w:pPr>
        <w:pStyle w:val="Heading3"/>
      </w:pPr>
      <w:r>
        <w:t xml:space="preserve">3.5.4 Multicollinearity và heteroscedasticity</w:t>
      </w:r>
    </w:p>
    <w:p>
      <w:pPr>
        <w:numPr>
          <w:ilvl w:val="0"/>
          <w:numId w:val="1012"/>
        </w:numPr>
        <w:pStyle w:val="Compact"/>
      </w:pPr>
      <w:r>
        <w:t xml:space="preserve">VIF cho tất cả mô hình; ngưỡng VIF &lt; 5 (Hair et al., 2019).</w:t>
      </w:r>
    </w:p>
    <w:p>
      <w:pPr>
        <w:numPr>
          <w:ilvl w:val="0"/>
          <w:numId w:val="1012"/>
        </w:numPr>
        <w:pStyle w:val="Compact"/>
      </w:pPr>
      <w:r>
        <w:t xml:space="preserve">Breusch–Pagan test (Breusch &amp; Pagan, 1979).</w:t>
      </w:r>
    </w:p>
    <w:bookmarkEnd w:id="117"/>
    <w:bookmarkStart w:id="118" w:name="sensitivity-analysis-cho-meta-analysis"/>
    <w:p>
      <w:pPr>
        <w:pStyle w:val="Heading3"/>
      </w:pPr>
      <w:r>
        <w:t xml:space="preserve">3.5.5 Sensitivity analysis cho meta-analysis</w:t>
      </w:r>
    </w:p>
    <w:p>
      <w:pPr>
        <w:numPr>
          <w:ilvl w:val="0"/>
          <w:numId w:val="1013"/>
        </w:numPr>
        <w:pStyle w:val="Compact"/>
      </w:pPr>
      <w:r>
        <w:t xml:space="preserve">Leave-one-out: loại từng nghiên cứu và tái tính pooled effect.</w:t>
      </w:r>
    </w:p>
    <w:p>
      <w:pPr>
        <w:numPr>
          <w:ilvl w:val="0"/>
          <w:numId w:val="1013"/>
        </w:numPr>
        <w:pStyle w:val="Compact"/>
      </w:pPr>
      <w:r>
        <w:t xml:space="preserve">Trim-and-fill (Duval &amp; Tweedie, 2000) cho publication bias.</w:t>
      </w:r>
    </w:p>
    <w:bookmarkEnd w:id="118"/>
    <w:bookmarkStart w:id="119"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I–P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meta-analysis và gradient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construct TCI và DAI qua ba thế hệ bảng hỏi WBES: do cấu trúc câu hỏi thay đổi giữa PICS3, Standardized và BREADY, một phần khác biệt theo thời gian có thể phản ánh hiệu ứng schema thay vì thay đổi thực chất (ví dụ mức R&amp;D đo được ở một số nhóm). Luận án giảm thiểu rủi ro này bằng hiệu ứng cố định năm/đợt, chuẩn hóa within country–year, và kiểm tra độ nhạy với biến thể thước đo (Mục 3.5.1); tuy vậy luận án chưa thực hiện kiểm định bất biến đo lường chính thức, nên mọi so sánh xuyên-schema cần được đọc một cách thận trọng.</w:t>
      </w:r>
    </w:p>
    <w:bookmarkEnd w:id="119"/>
    <w:bookmarkEnd w:id="120"/>
    <w:bookmarkStart w:id="121"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nghiên cứu thành phần P1, 17 nước châu Á mới nổi</w:t>
            </w:r>
          </w:p>
        </w:tc>
        <w:tc>
          <w:tcPr/>
          <w:p>
            <w:pPr>
              <w:pStyle w:val="Compact"/>
              <w:jc w:val="left"/>
            </w:pPr>
            <w:r>
              <w:t xml:space="preserve">Mở rộng từ 17 lên</w:t>
            </w:r>
            <w:r>
              <w:t xml:space="preserve"> </w:t>
            </w:r>
            <w:r>
              <w:rPr>
                <w:bCs/>
                <w:b/>
              </w:rPr>
              <w:t xml:space="preserve">50 nước</w:t>
            </w:r>
            <w:r>
              <w:t xml:space="preserve"> </w:t>
            </w:r>
            <w:r>
              <w:t xml:space="preserve">với 88.869 doanh nghiệp · 103 cặp nền kinh tế và năm (gồm Nhật Bản 2025)</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121"/>
    <w:bookmarkStart w:id="122"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p>
      <w:r>
        <w:br w:type="page"/>
      </w:r>
    </w:p>
    <w:bookmarkEnd w:id="122"/>
    <w:bookmarkStart w:id="123" w:name="chương-4-kết-quả-nghiên-cứu"/>
    <w:p>
      <w:pPr>
        <w:pStyle w:val="Heading1"/>
      </w:pPr>
      <w:r>
        <w:t xml:space="preserve">CHƯƠNG 4: KẾT QUẢ NGHIÊN CỨU</w:t>
      </w:r>
    </w:p>
    <w:bookmarkEnd w:id="123"/>
    <w:p>
      <w:r>
        <w:pict>
          <v:rect style="width:0;height:1.5pt" o:hralign="center" o:hrstd="t" o:hr="t"/>
        </w:pict>
      </w:r>
    </w:p>
    <w:bookmarkStart w:id="124"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meta-analytic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24"/>
    <w:bookmarkStart w:id="130" w:name="Xed285cd0261846a13dee28de69c0403b250498d"/>
    <w:p>
      <w:pPr>
        <w:pStyle w:val="Heading2"/>
      </w:pPr>
      <w:r>
        <w:t xml:space="preserve">4.1 Thực trạng quốc tế hóa và hiệu quả hoạt động kinh doanh tại châu Á</w:t>
      </w:r>
    </w:p>
    <w:bookmarkStart w:id="125"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Upper-middle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Lower-middle transition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Emerging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hồi quy chính của P7 là N = 81.022 (mô hình M2, khung 50 nền gồm Nhật Bản) và giảm còn 79.080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pool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proxy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gradient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bookmarkEnd w:id="125"/>
    <w:bookmarkStart w:id="126"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126"/>
    <w:bookmarkStart w:id="127"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I–P âm đơn điệu (FIP).</w:t>
      </w:r>
    </w:p>
    <w:p>
      <w:pPr>
        <w:pStyle w:val="BodyText"/>
      </w:pPr>
      <w:r>
        <w:t xml:space="preserve">Một biểu hiện khác của bão hòa Tier-1 nằm ở tương quan giữa website và năng suất: phần bù tương quan của DAI Tier-1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Tier-1 nhiều hơn là giới hạn của số hóa, một vấn đề đo lường cần phân biệt với quan hệ nhân quả thực.</w:t>
      </w:r>
    </w:p>
    <w:bookmarkEnd w:id="127"/>
    <w:bookmarkStart w:id="128"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institutional voids</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bookmarkEnd w:id="128"/>
    <w:bookmarkStart w:id="129"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pool con riêng không liên quan Nhật Bản: P8 (FIP) trên 7 nền Pacific SIDS và P9 (ngưỡng) trên Ấn Độ. Ngoài ra, nghiên cứu thành phần P10 kiểm định chuyên sâu quan hệ I–P tại Nhật Bản (xem Mục 4.6.2).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Tier-1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pool,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văn liệu về trần kính trong quản trị doanh nghiệp Nhật Bản. Các đặc trưng này được khai thác đầy đủ trong nghiên cứu thành phần P10, kiểm định chuyên sâu quan hệ I–P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(xem thêm Mục 4.6.2).</w:t>
      </w:r>
    </w:p>
    <w:p>
      <w:r>
        <w:pict>
          <v:rect style="width:0;height:1.5pt" o:hralign="center" o:hrstd="t" o:hr="t"/>
        </w:pict>
      </w:r>
    </w:p>
    <w:bookmarkEnd w:id="129"/>
    <w:bookmarkEnd w:id="130"/>
    <w:bookmarkStart w:id="135" w:name="Xe0084a7c2f7e752cafc4091ca0758f37f91bfa0"/>
    <w:p>
      <w:pPr>
        <w:pStyle w:val="Heading2"/>
      </w:pPr>
      <w:r>
        <w:t xml:space="preserve">4.2 Kết quả tổng hợp định lượng: Meta-analysis ba tầng (P6)</w:t>
      </w:r>
    </w:p>
    <w:bookmarkStart w:id="131"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131"/>
    <w:bookmarkStart w:id="132"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4"/>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4"/>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văn liệu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văn liệu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32"/>
    <w:bookmarkStart w:id="133" w:name="X0fe7021f65141f72ccca43dd2595712a4bb11b5"/>
    <w:p>
      <w:pPr>
        <w:pStyle w:val="Heading3"/>
      </w:pPr>
      <w:r>
        <w:t xml:space="preserve">4.2.3 Điều tiết bởi chế độ thể chế: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(Nhóm VI), là biến điều tiết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meta-analysis cấp nghiên cứu, dùng hệ ICRV 5-regime rút gọn [I Advanced-Innovation, II Upper-Middle, III Emerging, FR Frontier/SIDS, MX Mixed], khác với hệ 6 nhóm cấp doanh nghiệp dùng ở Mục 4.1 và Mục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Mục 4.2 giữ theo phân loại gốc của P6.)</w:t>
      </w:r>
    </w:p>
    <w:bookmarkEnd w:id="133"/>
    <w:bookmarkStart w:id="134"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pPr>
        <w:pStyle w:val="BodyText"/>
      </w:pPr>
      <w:r>
        <w:t xml:space="preserve">Phát hiện publication bias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publication bias, cấu trúc dị biệt này gợi ý một cách diễn giải lại</w:t>
      </w:r>
      <w:r>
        <w:t xml:space="preserve"> </w:t>
      </w:r>
      <w:r>
        <w:t xml:space="preserve">“</w:t>
      </w:r>
      <w:r>
        <w:t xml:space="preserve">câu đố heterogeneity</w:t>
      </w:r>
      <w:r>
        <w:t xml:space="preserve">”</w:t>
      </w:r>
      <w:r>
        <w:t xml:space="preserve"> </w:t>
      </w:r>
      <w:r>
        <w:t xml:space="preserve">trong văn liệu I–P: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meta-analysis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heterogeneity so với việc tích lũy thêm meta-analysis trên dữ liệu thứ cấp không đồng nhất.</w:t>
      </w:r>
    </w:p>
    <w:p>
      <w:r>
        <w:pict>
          <v:rect style="width:0;height:1.5pt" o:hralign="center" o:hrstd="t" o:hr="t"/>
        </w:pict>
      </w:r>
    </w:p>
    <w:bookmarkEnd w:id="134"/>
    <w:bookmarkEnd w:id="135"/>
    <w:bookmarkStart w:id="139" w:name="Xae571c1410747d630a72c4d12985bac375822ae"/>
    <w:p>
      <w:pPr>
        <w:pStyle w:val="Heading2"/>
      </w:pPr>
      <w:r>
        <w:t xml:space="preserve">4.3 Kết quả bối cảnh thể chế tiên tiến: Đổi mới: Singapore (P4)</w:t>
      </w:r>
    </w:p>
    <w:bookmarkStart w:id="136"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4.1).</w:t>
      </w:r>
    </w:p>
    <w:bookmarkEnd w:id="136"/>
    <w:bookmarkStart w:id="137"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37"/>
    <w:bookmarkStart w:id="138"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p>
      <w:r>
        <w:pict>
          <v:rect style="width:0;height:1.5pt" o:hralign="center" o:hrstd="t" o:hr="t"/>
        </w:pict>
      </w:r>
    </w:p>
    <w:bookmarkEnd w:id="138"/>
    <w:bookmarkEnd w:id="139"/>
    <w:bookmarkStart w:id="143" w:name="Xabe361c2d5961cf19ce7ab2bd5d9bc6d758140a"/>
    <w:p>
      <w:pPr>
        <w:pStyle w:val="Heading2"/>
      </w:pPr>
      <w:r>
        <w:t xml:space="preserve">4.4 Kết quả bối cảnh thể chế trung bình cao: Trung Quốc, 2012–2024 (P5)</w:t>
      </w:r>
    </w:p>
    <w:bookmarkStart w:id="140"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điểm uốn được ước lượng tại:</w:t>
      </w:r>
    </w:p>
    <w:p>
      <w:pPr>
        <w:numPr>
          <w:ilvl w:val="0"/>
          <w:numId w:val="1015"/>
        </w:numPr>
        <w:pStyle w:val="Compact"/>
      </w:pPr>
      <w:r>
        <w:rPr>
          <w:bCs/>
          <w:b/>
        </w:rPr>
        <w:t xml:space="preserve">Năm 2012</w:t>
      </w:r>
      <w:r>
        <w:t xml:space="preserve">: TP = 49,37% FSTS</w:t>
      </w:r>
    </w:p>
    <w:p>
      <w:pPr>
        <w:numPr>
          <w:ilvl w:val="0"/>
          <w:numId w:val="1015"/>
        </w:numPr>
        <w:pStyle w:val="Compact"/>
      </w:pPr>
      <w:r>
        <w:rPr>
          <w:bCs/>
          <w:b/>
        </w:rPr>
        <w:t xml:space="preserve">Năm 2024</w:t>
      </w:r>
      <w:r>
        <w:t xml:space="preserve">: TP = 47,19% FSTS</w:t>
      </w:r>
    </w:p>
    <w:p>
      <w:pPr>
        <w:numPr>
          <w:ilvl w:val="0"/>
          <w:numId w:val="1015"/>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40"/>
    <w:bookmarkStart w:id="141" w:name="Xe662776ac4ed20d7263c0278e37e5e670eb65fc"/>
    <w:p>
      <w:pPr>
        <w:pStyle w:val="Heading3"/>
      </w:pPr>
      <w:r>
        <w:t xml:space="preserve">4.4.2 Kiểm định tính ổn định theo thời gian: Temporal Stability</w:t>
      </w:r>
    </w:p>
    <w:p>
      <w:pPr>
        <w:pStyle w:val="FirstParagraph"/>
      </w:pPr>
      <w:r>
        <w:t xml:space="preserve">Luận án đặt câu hỏi thực nghiệm quan trọng: liệu hình dạng phi tuyến và điểm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41"/>
    <w:bookmarkStart w:id="142"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142"/>
    <w:bookmarkEnd w:id="143"/>
    <w:bookmarkStart w:id="148" w:name="Xdbd5cc67084304ba85b73781c0cb0c00b74055b"/>
    <w:p>
      <w:pPr>
        <w:pStyle w:val="Heading2"/>
      </w:pPr>
      <w:r>
        <w:t xml:space="preserve">4.5 Kết quả bối cảnh chuyển đổi bậc thấp–trung: Việt Nam (P3)</w:t>
      </w:r>
    </w:p>
    <w:bookmarkStart w:id="144"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144"/>
    <w:bookmarkStart w:id="145" w:name="điểm-điểm-uốn-theo-làn-sóng"/>
    <w:p>
      <w:pPr>
        <w:pStyle w:val="Heading3"/>
      </w:pPr>
      <w:r>
        <w:t xml:space="preserve">4.5.2 Điểm điểm uốn theo làn sóng</w:t>
      </w:r>
    </w:p>
    <w:p>
      <w:pPr>
        <w:pStyle w:val="FirstParagraph"/>
      </w:pPr>
      <w:r>
        <w:t xml:space="preserve">Điểm uốn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145"/>
    <w:bookmarkStart w:id="146"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146"/>
    <w:bookmarkStart w:id="147"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147"/>
    <w:bookmarkEnd w:id="148"/>
    <w:bookmarkStart w:id="155" w:name="X561afa853383c674354c1acb167a55cae3a018f"/>
    <w:p>
      <w:pPr>
        <w:pStyle w:val="Heading2"/>
      </w:pPr>
      <w:r>
        <w:t xml:space="preserve">4.6 Kết quả kiểm định toàn mẫu đa bối cảnh châu Á (P7)</w:t>
      </w:r>
    </w:p>
    <w:bookmarkStart w:id="149"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4.4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4.4.</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149"/>
    <w:bookmarkStart w:id="153"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4.5.</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4.4.</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1. Họ đường cong I–P phụ thuộc chế độ thể chế ICRV" title="" id="151" name="Picture"/>
            <a:graphic>
              <a:graphicData uri="http://schemas.openxmlformats.org/drawingml/2006/picture">
                <pic:pic>
                  <pic:nvPicPr>
                    <pic:cNvPr descr="figures/fig_4_x_ip_curves_icrv_gradient.png" id="152" name="Picture"/>
                    <pic:cNvPicPr>
                      <a:picLocks noChangeArrowheads="1" noChangeAspect="1"/>
                    </pic:cNvPicPr>
                  </pic:nvPicPr>
                  <pic:blipFill>
                    <a:blip r:embed="rId150"/>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4.1. Họ đường cong I–P phụ thuộc chế độ thể chế ICRV</w:t>
      </w:r>
    </w:p>
    <w:p>
      <w:pPr>
        <w:pStyle w:val="BodyText"/>
      </w:pPr>
      <w:r>
        <w:rPr>
          <w:bCs/>
          <w:b/>
        </w:rPr>
        <w:t xml:space="preserve">Hình 4.1.</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153"/>
    <w:bookmarkStart w:id="154" w:name="điều-tiết-bởi-tci-và-dai-trong-toàn-mẫu"/>
    <w:p>
      <w:pPr>
        <w:pStyle w:val="Heading3"/>
      </w:pPr>
      <w:r>
        <w:t xml:space="preserve">4.6.3 Điều tiết bởi TCI và DAI trong toàn mẫu</w:t>
      </w:r>
    </w:p>
    <w:p>
      <w:pPr>
        <w:numPr>
          <w:ilvl w:val="0"/>
          <w:numId w:val="1016"/>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6"/>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w:t>
      </w:r>
    </w:p>
    <w:p>
      <w:r>
        <w:pict>
          <v:rect style="width:0;height:1.5pt" o:hralign="center" o:hrstd="t" o:hr="t"/>
        </w:pict>
      </w:r>
    </w:p>
    <w:bookmarkEnd w:id="154"/>
    <w:bookmarkEnd w:id="155"/>
    <w:bookmarkStart w:id="160" w:name="X42f69945b56833cca239d45dc5864a7be6f74d7"/>
    <w:p>
      <w:pPr>
        <w:pStyle w:val="Heading2"/>
      </w:pPr>
      <w:r>
        <w:t xml:space="preserve">4.7 Kết quả trường hợp biên SIDS: Các nền kinh tế đảo nhỏ đang phát triển (P8)</w:t>
      </w:r>
    </w:p>
    <w:bookmarkStart w:id="156"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156"/>
    <w:bookmarkStart w:id="157"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điểm uốn trong phạm vi dữ liệu.</w:t>
      </w:r>
    </w:p>
    <w:bookmarkEnd w:id="157"/>
    <w:bookmarkStart w:id="158"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construct lý thuyết mới chưa có trong văn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văn liệu internationalization–firm performance cho khu vực Thái Bình Dương.</w:t>
      </w:r>
    </w:p>
    <w:bookmarkEnd w:id="158"/>
    <w:bookmarkStart w:id="159"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p>
      <w:r>
        <w:pict>
          <v:rect style="width:0;height:1.5pt" o:hralign="center" o:hrstd="t" o:hr="t"/>
        </w:pict>
      </w:r>
    </w:p>
    <w:bookmarkEnd w:id="159"/>
    <w:bookmarkEnd w:id="160"/>
    <w:bookmarkStart w:id="161"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4.6.</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p>
      <w:r>
        <w:pict>
          <v:rect style="width:0;height:1.5pt" o:hralign="center" o:hrstd="t" o:hr="t"/>
        </w:pict>
      </w:r>
    </w:p>
    <w:bookmarkEnd w:id="161"/>
    <w:bookmarkStart w:id="162" w:name="X3f9ed6ea86262c6caa26e51d1f917462628cea6"/>
    <w:p>
      <w:pPr>
        <w:pStyle w:val="Heading2"/>
      </w:pPr>
      <w:r>
        <w:t xml:space="preserve">4.9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văn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Tier-1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t xml:space="preserve">Bốn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162"/>
    <w:bookmarkStart w:id="163" w:name="tổng-hợp-kết-quả-theo-hệ-giả-thuyết"/>
    <w:p>
      <w:pPr>
        <w:pStyle w:val="Heading2"/>
      </w:pPr>
      <w:r>
        <w:t xml:space="preserve">4.10 Tổng hợp kết quả theo hệ giả thuyết</w:t>
      </w:r>
    </w:p>
    <w:p>
      <w:pPr>
        <w:pStyle w:val="FirstParagraph"/>
      </w:pPr>
      <w:r>
        <w:t xml:space="preserve">Trước khi tổng hợp theo hệ giả thuyết, Bảng 4.7 hợp nhất các ước lượng trụ cột của bảy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4.7.</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 I–P</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IV)</w:t>
            </w:r>
          </w:p>
        </w:tc>
        <w:tc>
          <w:tcPr/>
          <w:p>
            <w:pPr>
              <w:pStyle w:val="Compact"/>
              <w:jc w:val="left"/>
            </w:pPr>
            <w:r>
              <w:t xml:space="preserve">null (Tier-1)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4.559</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n/a</w:t>
            </w:r>
          </w:p>
        </w:tc>
      </w:tr>
      <w:tr>
        <w:tc>
          <w:tcPr/>
          <w:p>
            <w:pPr>
              <w:pStyle w:val="Compact"/>
              <w:jc w:val="left"/>
            </w:pPr>
            <w:r>
              <w:t xml:space="preserve">P6</w:t>
            </w:r>
          </w:p>
        </w:tc>
        <w:tc>
          <w:tcPr/>
          <w:p>
            <w:pPr>
              <w:pStyle w:val="Compact"/>
              <w:jc w:val="left"/>
            </w:pPr>
            <w:r>
              <w:t xml:space="preserve">Meta-analysis (toàn cầu)</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n/a</w:t>
            </w:r>
          </w:p>
        </w:tc>
        <w:tc>
          <w:tcPr/>
          <w:p>
            <w:pPr>
              <w:pStyle w:val="Compact"/>
              <w:jc w:val="left"/>
            </w:pPr>
            <w:r>
              <w:t xml:space="preserve">n/a</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SIDS Pacific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n/a</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tổng hợp từ các nghiên cứu thành phần P3–P9. ** p &lt; ,01; *** p &lt; ,001. Điểm uốn xác nhận bằng kiểm định Lind–Mehlum (2010). Điểm uốn P7 = 43,6% ở mô hình đầy đủ M5 trên khung 50 nền (dải 43,6–51,5% giữa các đặc tả).</w:t>
      </w:r>
    </w:p>
    <w:p>
      <w:pPr>
        <w:pStyle w:val="BodyText"/>
      </w:pPr>
      <w:r>
        <w:t xml:space="preserve">Bảng 4.7 làm nổi bật ba quy luật xuyên suốt. Thứ nhất,</w:t>
      </w:r>
      <w:r>
        <w:t xml:space="preserve"> </w:t>
      </w:r>
      <w:r>
        <w:rPr>
          <w:bCs/>
          <w:b/>
        </w:rPr>
        <w:t xml:space="preserve">dạng hàm chữ U ngược là quy luật chứ không phải ngoại lệ</w:t>
      </w:r>
      <w:r>
        <w:t xml:space="preserve">, được xác nhận ở năm trong bảy nghiên cứu (P3, P5, P7, P9 và một phần P4), với hai trường hợp biên có ý nghĩa lý thuyết riêng: quan hệ âm đơn điệu tại SIDS (P8, FIP) và sự tan biến ngưỡng dưới biến động thể chế cực đoan tại Ấn Độ (P9). Thứ hai,</w:t>
      </w:r>
      <w:r>
        <w:t xml:space="preserve"> </w:t>
      </w:r>
      <w:r>
        <w:rPr>
          <w:bCs/>
          <w:b/>
        </w:rPr>
        <w:t xml:space="preserve">điểm uốn dịch theo chiều thể chế</w:t>
      </w:r>
      <w:r>
        <w:t xml:space="preserve">: từ ~88,6% ở Singapore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null tại Việt Nam (Tier-1)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−0,088, p=,026;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exporters-only NS do mẫu nhỏ (N=26)</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163"/>
    <w:bookmarkStart w:id="164"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164"/>
    <w:bookmarkStart w:id="165" w:name="chương-5-kết-luận-và-đề-xuất"/>
    <w:p>
      <w:pPr>
        <w:pStyle w:val="Heading1"/>
      </w:pPr>
      <w:r>
        <w:t xml:space="preserve">CHƯƠNG 5: KẾT LUẬN VÀ ĐỀ XUẤT</w:t>
      </w:r>
    </w:p>
    <w:bookmarkEnd w:id="165"/>
    <w:p>
      <w:r>
        <w:pict>
          <v:rect style="width:0;height:1.5pt" o:hralign="center" o:hrstd="t" o:hr="t"/>
        </w:pict>
      </w:r>
    </w:p>
    <w:bookmarkStart w:id="166"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166"/>
    <w:bookmarkStart w:id="173" w:name="Xff8cef3ed320f9cf6f3fba4ff558bfed3af19c6"/>
    <w:p>
      <w:pPr>
        <w:pStyle w:val="Heading2"/>
      </w:pPr>
      <w:r>
        <w:t xml:space="preserve">5.1 Bàn luận kết quả theo khung lý thuyết CDCM</w:t>
      </w:r>
    </w:p>
    <w:bookmarkStart w:id="167"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sub-regime ICRV,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50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167"/>
    <w:bookmarkStart w:id="168" w:name="tci-là-năng-lực-nền-tảng-xác-nhận-h2"/>
    <w:p>
      <w:pPr>
        <w:pStyle w:val="Heading3"/>
      </w:pPr>
      <w:r>
        <w:t xml:space="preserve">5.1.2 TCI là Năng Lực Nền Tảng: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 ,001).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168"/>
    <w:bookmarkStart w:id="169" w:name="X27755afda27725d75d6cee82c01fb99e8279a05"/>
    <w:p>
      <w:pPr>
        <w:pStyle w:val="Heading3"/>
      </w:pPr>
      <w:r>
        <w:t xml:space="preserve">5.1.3 DAI là Nguồn Lực Tình Huống: Hỗ trợ một phần H3</w:t>
      </w:r>
    </w:p>
    <w:p>
      <w:pPr>
        <w:pStyle w:val="FirstParagraph"/>
      </w:pPr>
      <w:r>
        <w:t xml:space="preserve">Kết quả về Digital Adoption Index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digital capability</w:t>
      </w:r>
      <w:r>
        <w:t xml:space="preserve">”</w:t>
      </w:r>
      <w:r>
        <w:t xml:space="preserve"> </w:t>
      </w:r>
      <w:r>
        <w:t xml:space="preserve">theo nghĩa của dynamic capabilities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 ,087), nhất quán về chiều với lập luận này nhưng cần kiểm định nhân quả chặt hơn trước khi khẳng định.</w:t>
      </w:r>
    </w:p>
    <w:bookmarkEnd w:id="169"/>
    <w:bookmarkStart w:id="170"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biến điều tiết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170"/>
    <w:bookmarkStart w:id="171"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với hiệu ứng cố định quốc gia và năm; trong mẫu phụ chỉ gồm doanh nghiệp xuất khẩu, hệ số vẫn âm nhưng không ý nghĩa do N = 26)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điểm uốn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văn liệu I–P.</w:t>
      </w:r>
    </w:p>
    <w:p>
      <w:r>
        <w:pict>
          <v:rect style="width:0;height:1.5pt" o:hralign="center" o:hrstd="t" o:hr="t"/>
        </w:pict>
      </w:r>
    </w:p>
    <w:bookmarkEnd w:id="171"/>
    <w:bookmarkStart w:id="172"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Tier-2 thay thế Tier-1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172"/>
    <w:bookmarkEnd w:id="173"/>
    <w:bookmarkStart w:id="177" w:name="so-sánh-với-nghiên-cứu-trước-đây"/>
    <w:p>
      <w:pPr>
        <w:pStyle w:val="Heading2"/>
      </w:pPr>
      <w:r>
        <w:t xml:space="preserve">5.2 So sánh với nghiên cứu trước đây</w:t>
      </w:r>
    </w:p>
    <w:bookmarkStart w:id="174" w:name="nhất-quán-với-baseline-icbef-2024"/>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văn liệu, vấn đề chủ yếu là</w:t>
      </w:r>
      <w:r>
        <w:t xml:space="preserve"> </w:t>
      </w:r>
      <w:r>
        <w:rPr>
          <w:bCs/>
          <w:b/>
        </w:rPr>
        <w:t xml:space="preserve">đo lường bên trong nghiên cứu</w:t>
      </w:r>
      <w:r>
        <w:t xml:space="preserve">, không phải sự bất đồng căn bản giữa các nghiên cứu.</w:t>
      </w:r>
    </w:p>
    <w:bookmarkEnd w:id="174"/>
    <w:bookmarkStart w:id="175"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điểm uốn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Advanced Innovation; lưu ý điểm uốn này không định vị tin cậy do CI vượt ngưỡng khả thi, xem Mục 4.3) đến TP ≈ 39,7% (Việt Nam pooled, Lower-mid Transition),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FIP tại SIDS, không phải là S-curve hay chữ U ngược mà là quan hệ âm đơn điệu,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văn liệu Lu và Beamish.</w:t>
      </w:r>
    </w:p>
    <w:bookmarkEnd w:id="175"/>
    <w:bookmarkStart w:id="176" w:name="X7d417abcca377c053c807a61872538ebbcf35bb"/>
    <w:p>
      <w:pPr>
        <w:pStyle w:val="Heading3"/>
      </w:pPr>
      <w:r>
        <w:t xml:space="preserve">5.2.3 Mở rộng Marano et al. (2016): ICRV thay thế binary institutional quality</w:t>
      </w:r>
    </w:p>
    <w:p>
      <w:pPr>
        <w:pStyle w:val="FirstParagraph"/>
      </w:pPr>
      <w:r>
        <w:t xml:space="preserve">Marano et al. (2016) là meta-analysis quan trọng nhất trong văn liệu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Lower-middle transition Việt Nam với Emerging Campuchia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random-effects meta-analysis đơn tầng của Marano et al. (2016).</w:t>
      </w:r>
    </w:p>
    <w:p>
      <w:r>
        <w:pict>
          <v:rect style="width:0;height:1.5pt" o:hralign="center" o:hrstd="t" o:hr="t"/>
        </w:pict>
      </w:r>
    </w:p>
    <w:bookmarkEnd w:id="176"/>
    <w:bookmarkEnd w:id="177"/>
    <w:bookmarkStart w:id="181" w:name="đóng-góp-lý-thuyết-1"/>
    <w:p>
      <w:pPr>
        <w:pStyle w:val="Heading2"/>
      </w:pPr>
      <w:r>
        <w:t xml:space="preserve">5.3 Đóng góp lý thuyết</w:t>
      </w:r>
    </w:p>
    <w:bookmarkStart w:id="178"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I–P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foundational capability (như TCI) mà là</w:t>
      </w:r>
      <w:r>
        <w:t xml:space="preserve"> </w:t>
      </w:r>
      <w:r>
        <w:rPr>
          <w:bCs/>
          <w:b/>
        </w:rPr>
        <w:t xml:space="preserve">situational resource</w:t>
      </w:r>
      <w:r>
        <w:t xml:space="preserve">, tài nguyên có vai trò thay đổi theo bối cảnh thể chế. Quan trọng: tương tác chế độ-yếu (FSTS×Weak = −0,523, p = ,087, biên ý nghĩa) cho thấy hiệu ứng điều tiết của DAI</w:t>
      </w:r>
      <w:r>
        <w:t xml:space="preserve"> </w:t>
      </w:r>
      <w:r>
        <w:rPr>
          <w:bCs/>
          <w:b/>
        </w:rPr>
        <w:t xml:space="preserve">mạnh hơn</w:t>
      </w:r>
      <w:r>
        <w:t xml:space="preserve"> </w:t>
      </w:r>
      <w:r>
        <w:t xml:space="preserve">tại các nền kinh tế thể chế yếu hơn (Emerging, SIDS),</w:t>
      </w:r>
      <w:r>
        <w:t xml:space="preserve"> </w:t>
      </w:r>
      <w:r>
        <w:t xml:space="preserve">“</w:t>
      </w:r>
      <w:r>
        <w:t xml:space="preserve">digital shield</w:t>
      </w:r>
      <w:r>
        <w:t xml:space="preserve">”</w:t>
      </w:r>
      <w:r>
        <w:t xml:space="preserve"> </w:t>
      </w:r>
      <w:r>
        <w:t xml:space="preserve">bù đắp cho thiếu hụt thể chế.</w:t>
      </w:r>
    </w:p>
    <w:p>
      <w:pPr>
        <w:pStyle w:val="BodyText"/>
      </w:pPr>
      <w:r>
        <w:t xml:space="preserve">Điều này có hàm ý lý thuyết quan trọng cho RBV và digital capability văn liệu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178"/>
    <w:bookmarkStart w:id="179"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một construct lý thuyết mới chưa được định danh trong văn liệu kinh doanh quốc tế,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bẫy quốc tế hóa bắt buộc, mà không có điểm uốn để thoát khỏi.</w:t>
      </w:r>
    </w:p>
    <w:bookmarkEnd w:id="179"/>
    <w:bookmarkStart w:id="180" w:name="Xc32e0c91761841c5d26867e9ff33e10da8db64c"/>
    <w:p>
      <w:pPr>
        <w:pStyle w:val="Heading3"/>
      </w:pPr>
      <w:r>
        <w:t xml:space="preserve">5.3.3 ICRV 6-Regime: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Thái Bình Dương, thay thế cho các phân loại binary (developed/emerging) hoặc continuous (WGI scores) trong văn liệu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(Lower-middle transition, đang trong quá trình cải cách) với Campuchia (Emerging, institutional voids cao). ICRV không chỉ là taxonomy mô tả mà còn là taxonomy</w:t>
      </w:r>
      <w:r>
        <w:t xml:space="preserve"> </w:t>
      </w:r>
      <w:r>
        <w:rPr>
          <w:bCs/>
          <w:b/>
        </w:rPr>
        <w:t xml:space="preserve">dự đoán</w:t>
      </w:r>
      <w:r>
        <w:t xml:space="preserve">: điểm uốn I–P</w:t>
      </w:r>
      <w:r>
        <w:t xml:space="preserve"> </w:t>
      </w:r>
      <w:r>
        <w:rPr>
          <w:bCs/>
          <w:b/>
        </w:rPr>
        <w:t xml:space="preserve">giảm</w:t>
      </w:r>
      <w:r>
        <w:t xml:space="preserve"> </w:t>
      </w:r>
      <w:r>
        <w:t xml:space="preserve">đơn điệu theo chiều ba vùng: chữ U ngược định hình ở vùng giữa gradient (Nhóm IV, 43,0%), duỗi thẳng ở biên trên, tan rã ở biên dưới; thể chế càng mạnh, doanh nghiệp đạt đỉnh hiệu quả ở mức quốc tế hóa thấp hơn, xác nhận giá trị dự đoán của phân loại.</w:t>
      </w:r>
    </w:p>
    <w:p>
      <w:r>
        <w:pict>
          <v:rect style="width:0;height:1.5pt" o:hralign="center" o:hrstd="t" o:hr="t"/>
        </w:pict>
      </w:r>
    </w:p>
    <w:bookmarkEnd w:id="180"/>
    <w:bookmarkEnd w:id="181"/>
    <w:bookmarkStart w:id="186" w:name="đề-xuất-chính-sách-và-quản-trị"/>
    <w:p>
      <w:pPr>
        <w:pStyle w:val="Heading2"/>
      </w:pPr>
      <w:r>
        <w:t xml:space="preserve">5.4 Đề xuất chính sách và quản trị</w:t>
      </w:r>
    </w:p>
    <w:bookmarkStart w:id="182"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I–P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182"/>
    <w:bookmarkStart w:id="183"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7"/>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7"/>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7"/>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7"/>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183"/>
    <w:bookmarkStart w:id="184" w:name="X3f7c356bbecb0845bc3ba35928bc46323a69176"/>
    <w:p>
      <w:pPr>
        <w:pStyle w:val="Heading3"/>
      </w:pPr>
      <w:r>
        <w:t xml:space="preserve">5.4.3 Đề xuất đặc biệt cho SIDS: Tránh Bẫy Quốc Tế Hóa Bắt Buộc</w:t>
      </w:r>
    </w:p>
    <w:p>
      <w:pPr>
        <w:pStyle w:val="FirstParagraph"/>
      </w:pPr>
      <w:r>
        <w:t xml:space="preserve">Phát hiện FIP tại bảy quốc gia Pacific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184"/>
    <w:bookmarkStart w:id="185"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Tier-1,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185"/>
    <w:bookmarkEnd w:id="186"/>
    <w:bookmarkStart w:id="191" w:name="hạn-chế-và-hướng-nghiên-cứu-tương-lai"/>
    <w:p>
      <w:pPr>
        <w:pStyle w:val="Heading2"/>
      </w:pPr>
      <w:r>
        <w:t xml:space="preserve">5.5 Hạn chế và hướng nghiên cứu tương lai</w:t>
      </w:r>
    </w:p>
    <w:bookmarkStart w:id="187"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187"/>
    <w:bookmarkStart w:id="188" w:name="X0fb0169567c230dc5c1d35515099b26124d99e1"/>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mẫu phụ xuất khẩu N = 84, SIDS exporters-only N = 26)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188"/>
    <w:bookmarkStart w:id="189" w:name="hạn-chế-về-nhân-quả"/>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189"/>
    <w:bookmarkStart w:id="190" w:name="hướng-nghiên-cứu-tương-lai"/>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Emerging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I–P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r>
        <w:pict>
          <v:rect style="width:0;height:1.5pt" o:hralign="center" o:hrstd="t" o:hr="t"/>
        </w:pict>
      </w:r>
    </w:p>
    <w:bookmarkEnd w:id="190"/>
    <w:bookmarkEnd w:id="191"/>
    <w:bookmarkStart w:id="196" w:name="kết-luận"/>
    <w:p>
      <w:pPr>
        <w:pStyle w:val="Heading2"/>
      </w:pPr>
      <w:r>
        <w:t xml:space="preserve">5.6 Kết luận</w:t>
      </w:r>
    </w:p>
    <w:bookmarkStart w:id="192" w:name="tổng-kết-chín-nghiên-cứu"/>
    <w:p>
      <w:pPr>
        <w:pStyle w:val="Heading3"/>
      </w:pPr>
      <w:r>
        <w:t xml:space="preserve">5.6.1 Tổng kết chín nghiên cứu</w:t>
      </w:r>
    </w:p>
    <w:p>
      <w:pPr>
        <w:pStyle w:val="FirstParagraph"/>
      </w:pPr>
      <w:r>
        <w:t xml:space="preserve">Luận án này được xây dựng trên chín nghiên cứu bổ sung cho nhau, kết hợp bằng chứng từ meta-analysis và phân tích thực nghiệm sơ cấp:</w:t>
      </w:r>
    </w:p>
    <w:p>
      <w:pPr>
        <w:numPr>
          <w:ilvl w:val="0"/>
          <w:numId w:val="1018"/>
        </w:numPr>
      </w:pPr>
      <w:r>
        <w:rPr>
          <w:bCs/>
          <w:b/>
        </w:rPr>
        <w:t xml:space="preserve">P1 và P2</w:t>
      </w:r>
      <w:r>
        <w:t xml:space="preserve"> </w:t>
      </w:r>
      <w:r>
        <w:t xml:space="preserve">(đã công bố tại ICBEF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8"/>
        </w:numPr>
      </w:pPr>
      <w:r>
        <w:rPr>
          <w:bCs/>
          <w:b/>
        </w:rPr>
        <w:t xml:space="preserve">P3</w:t>
      </w:r>
      <w:r>
        <w:t xml:space="preserve">: phân tích Việt Nam (Lower-mid Transition), xác nhận chữ U ngược với TP = 39,3–46,2%, TCI là biến điều tiết dương có ý nghĩa.</w:t>
      </w:r>
    </w:p>
    <w:p>
      <w:pPr>
        <w:numPr>
          <w:ilvl w:val="0"/>
          <w:numId w:val="1018"/>
        </w:numPr>
      </w:pPr>
      <w:r>
        <w:rPr>
          <w:bCs/>
          <w:b/>
        </w:rPr>
        <w:t xml:space="preserve">P4</w:t>
      </w:r>
      <w:r>
        <w:t xml:space="preserve">: phân tích Singapore (Advanced Innovation), xác nhận chữ U ngược với TP ≈ 88,6% (rộng CI), DAI khuếch đại tại mức FSTS cao.</w:t>
      </w:r>
    </w:p>
    <w:p>
      <w:pPr>
        <w:numPr>
          <w:ilvl w:val="0"/>
          <w:numId w:val="1018"/>
        </w:numPr>
      </w:pPr>
      <w:r>
        <w:rPr>
          <w:bCs/>
          <w:b/>
        </w:rPr>
        <w:t xml:space="preserve">P5</w:t>
      </w:r>
      <w:r>
        <w:t xml:space="preserve">: phân tích Trung Quốc 2012–2024 (Upper-middle), xác nhận chữ U ngược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8"/>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8"/>
        </w:numPr>
      </w:pPr>
      <w:r>
        <w:rPr>
          <w:bCs/>
          <w:b/>
        </w:rPr>
        <w:t xml:space="preserve">P7</w:t>
      </w:r>
      <w:r>
        <w:t xml:space="preserve">: kiểm định toàn mẫu châu Á và Thái Bình Dương trên khung 50 nền,</w:t>
      </w:r>
      <w:r>
        <w:t xml:space="preserve"> </w:t>
      </w:r>
      <m:oMath>
        <m:r>
          <m:t>N</m:t>
        </m:r>
        <m:r>
          <m:rPr>
            <m:sty m:val="p"/>
          </m:rPr>
          <m:t>=</m:t>
        </m:r>
        <m:r>
          <m:t>81.022</m:t>
        </m:r>
      </m:oMath>
      <w:r>
        <w:t xml:space="preserve"> </w:t>
      </w:r>
      <w:r>
        <w:t xml:space="preserve">(M2) /</w:t>
      </w:r>
      <w:r>
        <w:t xml:space="preserve"> </w:t>
      </w:r>
      <m:oMath>
        <m:r>
          <m:t>N</m:t>
        </m:r>
        <m:r>
          <m:rPr>
            <m:sty m:val="p"/>
          </m:rPr>
          <m:t>=</m:t>
        </m:r>
        <m:r>
          <m:t>79.080</m:t>
        </m:r>
      </m:oMath>
      <w:r>
        <w:t xml:space="preserve"> </w:t>
      </w:r>
      <w:r>
        <w:t xml:space="preserve">(M5 với kiểm soát đầy đủ), điểm uốn = 43,6–51,5% (headline M5 =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w:t>
      </w:r>
      <w:r>
        <w:t xml:space="preserve"> </w:t>
      </w:r>
      <m:oMath>
        <m:sSub>
          <m:e>
            <m:r>
              <m:t>p</m:t>
            </m:r>
          </m:e>
          <m:sub>
            <m:r>
              <m:rPr>
                <m:nor/>
                <m:sty m:val="p"/>
              </m:rPr>
              <m:t>LM</m:t>
            </m:r>
          </m:sub>
        </m:sSub>
        <m:r>
          <m:rPr>
            <m:sty m:val="p"/>
          </m:rPr>
          <m:t>&lt;</m:t>
        </m:r>
        <m:r>
          <m:rPr>
            <m:sty m:val="p"/>
          </m:rPr>
          <m:t>,</m:t>
        </m:r>
        <m:r>
          <m:t>001</m:t>
        </m:r>
      </m:oMath>
      <w:r>
        <w:t xml:space="preserve">), gần tuyến tính ở Nhóm I, tan rã ở Nhóm V–VI; TCI nâng mặt bằng (+0,141,</w:t>
      </w:r>
      <w:r>
        <w:t xml:space="preserve"> </w:t>
      </w:r>
      <m:oMath>
        <m:r>
          <m:t>p</m:t>
        </m:r>
        <m:r>
          <m:rPr>
            <m:sty m:val="p"/>
          </m:rPr>
          <m:t>&lt;</m:t>
        </m:r>
        <m:r>
          <m:rPr>
            <m:sty m:val="p"/>
          </m:rPr>
          <m:t>,</m:t>
        </m:r>
        <m:r>
          <m:t>001</m:t>
        </m:r>
      </m:oMath>
      <w:r>
        <w:t xml:space="preserve">), DAI nâng mặt bằng (+0,201,</w:t>
      </w:r>
      <w:r>
        <w:t xml:space="preserve"> </w:t>
      </w:r>
      <m:oMath>
        <m:r>
          <m:t>p</m:t>
        </m:r>
        <m:r>
          <m:rPr>
            <m:sty m:val="p"/>
          </m:rPr>
          <m:t>&lt;</m:t>
        </m:r>
        <m:r>
          <m:rPr>
            <m:sty m:val="p"/>
          </m:rPr>
          <m:t>,</m:t>
        </m:r>
        <m:r>
          <m:t>001</m:t>
        </m:r>
      </m:oMath>
      <w:r>
        <w:t xml:space="preserve">) với tương tác đường cong cùng chiều nhưng không ý nghĩa toàn mẫu.</w:t>
      </w:r>
    </w:p>
    <w:p>
      <w:pPr>
        <w:numPr>
          <w:ilvl w:val="0"/>
          <w:numId w:val="1018"/>
        </w:numPr>
      </w:pPr>
      <w:r>
        <w:rPr>
          <w:bCs/>
          <w:b/>
        </w:rPr>
        <w:t xml:space="preserve">P8</w:t>
      </w:r>
      <w:r>
        <w:t xml:space="preserve">: phân tích bảy nền kinh tế đảo nhỏ đang phát triển Thái Bình Dương (Pacific SIDS),</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sSup>
          <m:e>
            <m:r>
              <m:t>339</m:t>
            </m:r>
          </m:e>
          <m:sup>
            <m:r>
              <m:rPr>
                <m:sty m:val="p"/>
              </m:rPr>
              <m:t>*</m:t>
            </m:r>
            <m:r>
              <m:rPr>
                <m:sty m:val="p"/>
              </m:rPr>
              <m:t>*</m:t>
            </m:r>
            <m:r>
              <m:rPr>
                <m:sty m:val="p"/>
              </m:rPr>
              <m:t>*</m:t>
            </m:r>
          </m:sup>
        </m:sSup>
      </m:oMath>
      <w:r>
        <w:t xml:space="preserve">, FIP xác nhận, quan hệ âm đơn điệu không có điểm uốn.</w:t>
      </w:r>
    </w:p>
    <w:p>
      <w:pPr>
        <w:numPr>
          <w:ilvl w:val="0"/>
          <w:numId w:val="1018"/>
        </w:numPr>
      </w:pPr>
      <w:r>
        <w:rPr>
          <w:bCs/>
          <w:b/>
        </w:rPr>
        <w:t xml:space="preserve">P9</w:t>
      </w:r>
      <w:r>
        <w:t xml:space="preserve">: phân tích Ấn Độ qua ba đợt WBES 2014–2025 (~29.000 doanh nghiệp), kiểm định độ bền ngưỡng I–P qua thập kỷ chuyển đổi thể chế. Phát hiện sự</w:t>
      </w:r>
      <w:r>
        <w:t xml:space="preserve"> </w:t>
      </w:r>
      <w:r>
        <w:rPr>
          <w:iCs/>
          <w:i/>
        </w:rPr>
        <w:t xml:space="preserve">tan biến</w:t>
      </w:r>
      <w:r>
        <w:t xml:space="preserve"> </w:t>
      </w:r>
      <w:r>
        <w:t xml:space="preserve">điểm uốn chữ U ngược: TP = 61,8% (2014) rồi 40,7% (2022) rồi mất ý nghĩa độ cong (2025: β₂ = −0,16, p = ,42), kèm tương tác DAI Tier-2 (UPI) âm, bằng chứng đầu tiên rằng chuyển đổi thể chế cực mạnh có thể hòa tan (chứ không chỉ dịch chuyển) ngưỡng. Đích MIR/IJOEM; kế thừa công trình tiền đề Do &amp; Phan (2025, IntechOpen).</w:t>
      </w:r>
    </w:p>
    <w:bookmarkEnd w:id="192"/>
    <w:bookmarkStart w:id="193"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ở vùng giữa gradient thể chế, duỗi thẳng ở biên trên và tan rã ở biên dưới, thể chế càng mạnh, điểm uốn càng sớm (FSTS thấp hơn).</w:t>
      </w:r>
    </w:p>
    <w:bookmarkEnd w:id="193"/>
    <w:bookmarkStart w:id="194"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meta-analytic văn liệu về I–P bằng cách phân tách cấu trúc dị biệt và xác định ICRV như biến điều tiết có ý nghĩa; (ii) văn liệu về digital capability bằng cách làm rõ DAI là situational resource chứ không phải foundational capability; và (iii) văn liệu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194"/>
    <w:bookmarkStart w:id="195"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chín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rằng quan hệ I–P là quan hệ có điều kiện theo thể chế, không phải quan hệ phổ quát, là đóng góp cốt lõi mà luận án mang lại cho khoa học quản trị kinh doanh quốc tế.</w:t>
      </w:r>
    </w:p>
    <w:p>
      <w:r>
        <w:pict>
          <v:rect style="width:0;height:1.5pt" o:hralign="center" o:hrstd="t" o:hr="t"/>
        </w:pict>
      </w:r>
    </w:p>
    <w:p>
      <w:r>
        <w:br w:type="page"/>
      </w:r>
    </w:p>
    <w:bookmarkEnd w:id="195"/>
    <w:bookmarkEnd w:id="196"/>
    <w:bookmarkStart w:id="234"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thành</w:t>
      </w:r>
      <w:r>
        <w:t xml:space="preserve"> </w:t>
      </w:r>
      <w:r>
        <w:t xml:space="preserve">“</w:t>
      </w:r>
      <w:r>
        <w:t xml:space="preserve">World Bank Enterprise Surveys (2025)</w:t>
      </w:r>
      <w:r>
        <w:t xml:space="preserve">”</w:t>
      </w:r>
      <w:r>
        <w:t xml:space="preserve"> </w:t>
      </w:r>
      <w:r>
        <w:t xml:space="preserve">theo APA 7th Mục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tác động tới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Mục 1.1 và Mục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Mục 1 (SIDS development lag) và Mục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dẫn đến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Mục 5 (Agarwal + Barattieri), P8 Mục 1 (Mahler et al. 2026b), CD2 Mục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RESOLVED Audit Warning 1 v2.4</w:t>
      </w:r>
      <w:r>
        <w:t xml:space="preserve">: Lin &amp; Beamish (2005) thành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197"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197"/>
    <w:bookmarkStart w:id="198" w:name="X094bc8b13169a81669f6b7abcf887888d4186ca"/>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RESOLVED v2.5 — Audit Warning 1</w:t>
      </w:r>
      <w:r>
        <w:t xml:space="preserve">: Lin &amp; Beamish (2005) thành Lu &amp; Beamish (2004) replacement đã hoàn tất trong file 14 v3.8 (commit e2f8415, 07/05/2026): 4 occurrences trong Mục 1.1, Mục 2.6, Bảng 2.6.1 đã updated. Lu &amp; Beamish (2004) AMJ S-curve DOI 10.2307/20159604 đã có sẵn Section B từ v2.1.</w:t>
      </w:r>
    </w:p>
    <w:bookmarkEnd w:id="198"/>
    <w:bookmarkStart w:id="199"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199"/>
    <w:bookmarkStart w:id="200" w:name="Xb02f9563701139be84b359c2d25884190ee9110"/>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r>
        <w:t xml:space="preserve"> </w:t>
      </w: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200"/>
    <w:bookmarkStart w:id="201"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201"/>
    <w:bookmarkStart w:id="202"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202"/>
    <w:bookmarkStart w:id="203"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203"/>
    <w:bookmarkStart w:id="204" w:name="h.-firm-performance-đa-chiều"/>
    <w:p>
      <w:pPr>
        <w:pStyle w:val="Heading2"/>
      </w:pPr>
      <w:r>
        <w:t xml:space="preserve">H. Firm performance đa chiều</w:t>
      </w:r>
    </w:p>
    <w:p>
      <w:pPr>
        <w:pStyle w:val="FirstParagraph"/>
      </w:pPr>
      <w:r>
        <w:t xml:space="preserve">(Giữ nguyên từ v2.1.)</w:t>
      </w:r>
    </w:p>
    <w:bookmarkEnd w:id="204"/>
    <w:bookmarkStart w:id="205"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205"/>
    <w:bookmarkStart w:id="207"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Start w:id="206" w:name="X2fb57ded0f7cbc8f956c4aa51a273056f808ba8"/>
    <w:p>
      <w:pPr>
        <w:pStyle w:val="Heading3"/>
      </w:pPr>
      <w:r>
        <w:t xml:space="preserve">Bổ sung v3.2 — Phương pháp hợp nhất dữ liệu đa quốc gia (Phụ lục A)</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bookmarkEnd w:id="206"/>
    <w:bookmarkEnd w:id="207"/>
    <w:bookmarkStart w:id="208"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Mục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Mục 1.3 phạm vi không gian (47 nước châu Á phân loại theo income group) + Mục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đến mid-stream design/R&amp;D dựa trên 3 trụ cột Resilience + Environmental Sustainability + Inclusiveness. Cited Mục 1.1 lớp 6 update + Mục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đến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Mục 8.31; ước lượng 2023-2024. NCS verify trên trang IFC trước final. Cited Mục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208"/>
    <w:bookmarkStart w:id="209" w:name="Xde200f04073635a38db4cac94b8061369cfcb08"/>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209"/>
    <w:bookmarkStart w:id="210"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210"/>
    <w:bookmarkStart w:id="211"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211"/>
    <w:bookmarkStart w:id="212" w:name="X1ca9aa89636ad43de36398867e3fda3073628b0"/>
    <w:p>
      <w:pPr>
        <w:pStyle w:val="Heading2"/>
      </w:pPr>
      <w:r>
        <w:t xml:space="preserve">O. Văn bản pháp lý Việt Nam (cited trong CĐ1 Mục 7.3.3)</w:t>
      </w:r>
    </w:p>
    <w:p>
      <w:pPr>
        <w:pStyle w:val="FirstParagraph"/>
      </w:pPr>
      <w:r>
        <w:t xml:space="preserve">(Giữ nguyên từ v2.0 — 7 văn bản pháp lý + 8 hiệp định FTA.)</w:t>
      </w:r>
    </w:p>
    <w:bookmarkEnd w:id="212"/>
    <w:bookmarkStart w:id="213"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 đến $118/bbl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213"/>
    <w:bookmarkStart w:id="214"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214"/>
    <w:bookmarkStart w:id="215"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215"/>
    <w:bookmarkStart w:id="216"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Mục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r>
        <w:t xml:space="preserve"> </w:t>
      </w: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r>
        <w:t xml:space="preserve"> </w:t>
      </w: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216"/>
    <w:bookmarkStart w:id="217"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đến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Mục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đến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Mục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đến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Mục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Mục 1 Introduction — structural developmental constraints cho Pacific SIDS FIP mechanism.)</w:t>
      </w:r>
    </w:p>
    <w:p>
      <w:r>
        <w:pict>
          <v:rect style="width:0;height:1.5pt" o:hralign="center" o:hrstd="t" o:hr="t"/>
        </w:pict>
      </w:r>
    </w:p>
    <w:bookmarkEnd w:id="217"/>
    <w:bookmarkStart w:id="221" w:name="hướng-dẫn-sử-dụng-cập-nhật-v2.5"/>
    <w:p>
      <w:pPr>
        <w:pStyle w:val="Heading2"/>
      </w:pPr>
      <w:r>
        <w:t xml:space="preserve">Hướng dẫn sử dụng (cập nhật v2.5)</w:t>
      </w:r>
    </w:p>
    <w:bookmarkStart w:id="218" w:name="trong-bản-thảo-luận-án"/>
    <w:p>
      <w:pPr>
        <w:pStyle w:val="Heading3"/>
      </w:pPr>
      <w:r>
        <w:t xml:space="preserve">Trong bản thảo luận án</w:t>
      </w:r>
    </w:p>
    <w:p>
      <w:pPr>
        <w:numPr>
          <w:ilvl w:val="0"/>
          <w:numId w:val="1019"/>
        </w:numPr>
        <w:pStyle w:val="Compact"/>
      </w:pPr>
      <w:r>
        <w:t xml:space="preserve">Dùng in-text citation theo author–date.</w:t>
      </w:r>
    </w:p>
    <w:p>
      <w:pPr>
        <w:numPr>
          <w:ilvl w:val="0"/>
          <w:numId w:val="1019"/>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9"/>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19"/>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9"/>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9"/>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9"/>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9"/>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9"/>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9"/>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9"/>
        </w:numPr>
        <w:pStyle w:val="Compact"/>
      </w:pPr>
      <w:r>
        <w:rPr>
          <w:bCs/>
          <w:b/>
        </w:rPr>
        <w:t xml:space="preserve">Trích dẫn Section P — Data360 Atlas (v2.6)</w:t>
      </w:r>
      <w:r>
        <w:t xml:space="preserve">:</w:t>
      </w:r>
    </w:p>
    <w:p>
      <w:pPr>
        <w:numPr>
          <w:ilvl w:val="1"/>
          <w:numId w:val="1020"/>
        </w:numPr>
        <w:pStyle w:val="Compact"/>
      </w:pPr>
      <w:r>
        <w:t xml:space="preserve">Internet access story:</w:t>
      </w:r>
      <w:r>
        <w:t xml:space="preserve"> </w:t>
      </w:r>
      <w:r>
        <w:t xml:space="preserve">“</w:t>
      </w:r>
      <w:r>
        <w:t xml:space="preserve">Pirlea &amp; Corso (2026)</w:t>
      </w:r>
      <w:r>
        <w:t xml:space="preserve">”</w:t>
      </w:r>
    </w:p>
    <w:p>
      <w:pPr>
        <w:numPr>
          <w:ilvl w:val="1"/>
          <w:numId w:val="1020"/>
        </w:numPr>
        <w:pStyle w:val="Compact"/>
      </w:pPr>
      <w:r>
        <w:t xml:space="preserve">AI inequality story:</w:t>
      </w:r>
      <w:r>
        <w:t xml:space="preserve"> </w:t>
      </w:r>
      <w:r>
        <w:t xml:space="preserve">“</w:t>
      </w:r>
      <w:r>
        <w:t xml:space="preserve">Mahler, Wang &amp; Weber (2026)</w:t>
      </w:r>
      <w:r>
        <w:t xml:space="preserve">”</w:t>
      </w:r>
    </w:p>
    <w:p>
      <w:pPr>
        <w:numPr>
          <w:ilvl w:val="1"/>
          <w:numId w:val="1020"/>
        </w:numPr>
        <w:pStyle w:val="Compact"/>
      </w:pPr>
      <w:r>
        <w:t xml:space="preserve">Atlas overview/statistics:</w:t>
      </w:r>
      <w:r>
        <w:t xml:space="preserve"> </w:t>
      </w:r>
      <w:r>
        <w:t xml:space="preserve">“</w:t>
      </w:r>
      <w:r>
        <w:t xml:space="preserve">Pirlea et al. (2026 — Atlas)</w:t>
      </w:r>
      <w:r>
        <w:t xml:space="preserve">”</w:t>
      </w:r>
    </w:p>
    <w:p>
      <w:pPr>
        <w:numPr>
          <w:ilvl w:val="1"/>
          <w:numId w:val="1020"/>
        </w:numPr>
        <w:pStyle w:val="Compact"/>
      </w:pPr>
      <w:r>
        <w:t xml:space="preserve">Commodity markets blog:</w:t>
      </w:r>
      <w:r>
        <w:t xml:space="preserve"> </w:t>
      </w:r>
      <w:r>
        <w:t xml:space="preserve">“</w:t>
      </w:r>
      <w:r>
        <w:t xml:space="preserve">Agnolucci, Kenworthy &amp; Kose (2026)</w:t>
      </w:r>
      <w:r>
        <w:t xml:space="preserve">”</w:t>
      </w:r>
    </w:p>
    <w:p>
      <w:pPr>
        <w:numPr>
          <w:ilvl w:val="1"/>
          <w:numId w:val="1020"/>
        </w:numPr>
        <w:pStyle w:val="Compact"/>
      </w:pPr>
      <w:r>
        <w:t xml:space="preserve">AI financial supervision G20:</w:t>
      </w:r>
      <w:r>
        <w:t xml:space="preserve"> </w:t>
      </w:r>
      <w:r>
        <w:t xml:space="preserve">“</w:t>
      </w:r>
      <w:r>
        <w:t xml:space="preserve">Boeddu et al. (2025)</w:t>
      </w:r>
      <w:r>
        <w:t xml:space="preserve">”</w:t>
      </w:r>
    </w:p>
    <w:p>
      <w:pPr>
        <w:numPr>
          <w:ilvl w:val="0"/>
          <w:numId w:val="1019"/>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9"/>
        </w:numPr>
        <w:pStyle w:val="Compact"/>
      </w:pPr>
      <w:r>
        <w:rPr>
          <w:bCs/>
          <w:b/>
        </w:rPr>
        <w:t xml:space="preserve">Trích dẫn Section Q — Singapore ecosystem (v2.7)</w:t>
      </w:r>
      <w:r>
        <w:t xml:space="preserve">:</w:t>
      </w:r>
    </w:p>
    <w:p>
      <w:pPr>
        <w:numPr>
          <w:ilvl w:val="1"/>
          <w:numId w:val="1021"/>
        </w:numPr>
        <w:pStyle w:val="Compact"/>
      </w:pPr>
      <w:r>
        <w:t xml:space="preserve">SWITCH 2025:</w:t>
      </w:r>
      <w:r>
        <w:t xml:space="preserve"> </w:t>
      </w:r>
      <w:r>
        <w:t xml:space="preserve">“</w:t>
      </w:r>
      <w:r>
        <w:t xml:space="preserve">Enterprise Singapore (2025)</w:t>
      </w:r>
      <w:r>
        <w:t xml:space="preserve">”</w:t>
      </w:r>
    </w:p>
    <w:p>
      <w:pPr>
        <w:numPr>
          <w:ilvl w:val="1"/>
          <w:numId w:val="1021"/>
        </w:numPr>
        <w:pStyle w:val="Compact"/>
      </w:pPr>
      <w:r>
        <w:t xml:space="preserve">Digital government rankings:</w:t>
      </w:r>
      <w:r>
        <w:t xml:space="preserve"> </w:t>
      </w:r>
      <w:r>
        <w:t xml:space="preserve">“</w:t>
      </w:r>
      <w:r>
        <w:t xml:space="preserve">GovTech Singapore (2024)</w:t>
      </w:r>
      <w:r>
        <w:t xml:space="preserve">”</w:t>
      </w:r>
    </w:p>
    <w:p>
      <w:pPr>
        <w:numPr>
          <w:ilvl w:val="1"/>
          <w:numId w:val="1021"/>
        </w:numPr>
        <w:pStyle w:val="Compact"/>
      </w:pPr>
      <w:r>
        <w:t xml:space="preserve">ATxSG summit:</w:t>
      </w:r>
      <w:r>
        <w:t xml:space="preserve"> </w:t>
      </w:r>
      <w:r>
        <w:t xml:space="preserve">“</w:t>
      </w:r>
      <w:r>
        <w:t xml:space="preserve">IMDA (2025)</w:t>
      </w:r>
      <w:r>
        <w:t xml:space="preserve">”</w:t>
      </w:r>
    </w:p>
    <w:p>
      <w:pPr>
        <w:numPr>
          <w:ilvl w:val="1"/>
          <w:numId w:val="1021"/>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9"/>
        </w:numPr>
        <w:pStyle w:val="Compact"/>
      </w:pPr>
      <w:r>
        <w:rPr>
          <w:bCs/>
          <w:b/>
        </w:rPr>
        <w:t xml:space="preserve">Trích dẫn Section T — WB Working Papers 2015/2026 (v2.9)</w:t>
      </w:r>
      <w:r>
        <w:t xml:space="preserve">:</w:t>
      </w:r>
    </w:p>
    <w:p>
      <w:pPr>
        <w:numPr>
          <w:ilvl w:val="1"/>
          <w:numId w:val="1022"/>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22"/>
        </w:numPr>
        <w:pStyle w:val="Compact"/>
      </w:pPr>
      <w:r>
        <w:t xml:space="preserve">Vietnam trade liberalization đến productivity:</w:t>
      </w:r>
      <w:r>
        <w:t xml:space="preserve"> </w:t>
      </w:r>
      <w:r>
        <w:t xml:space="preserve">“</w:t>
      </w:r>
      <w:r>
        <w:t xml:space="preserve">Barattieri, Mattoo, &amp; Signoret (2026)</w:t>
      </w:r>
      <w:r>
        <w:t xml:space="preserve">”</w:t>
      </w:r>
      <w:r>
        <w:t xml:space="preserve"> </w:t>
      </w:r>
      <w:r>
        <w:t xml:space="preserve">[WPS11354]</w:t>
      </w:r>
    </w:p>
    <w:p>
      <w:pPr>
        <w:numPr>
          <w:ilvl w:val="1"/>
          <w:numId w:val="1022"/>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22"/>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22"/>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218"/>
    <w:bookmarkStart w:id="219" w:name="khi-nộp-bản-cuối"/>
    <w:p>
      <w:pPr>
        <w:pStyle w:val="Heading3"/>
      </w:pPr>
      <w:r>
        <w:t xml:space="preserve">Khi nộp bản cuối</w:t>
      </w:r>
    </w:p>
    <w:p>
      <w:pPr>
        <w:numPr>
          <w:ilvl w:val="0"/>
          <w:numId w:val="1023"/>
        </w:numPr>
        <w:pStyle w:val="Compact"/>
      </w:pPr>
      <w:r>
        <w:t xml:space="preserve">Xác minh DOI trên Crossref hoặc trang publisher cho các entry không quen thuộc.</w:t>
      </w:r>
    </w:p>
    <w:p>
      <w:pPr>
        <w:numPr>
          <w:ilvl w:val="0"/>
          <w:numId w:val="1023"/>
        </w:numPr>
        <w:pStyle w:val="Compact"/>
      </w:pPr>
      <w:r>
        <w:t xml:space="preserve">Kiểm tra nhất quán italic và punctuation theo APA 7th.</w:t>
      </w:r>
    </w:p>
    <w:p>
      <w:pPr>
        <w:numPr>
          <w:ilvl w:val="0"/>
          <w:numId w:val="1023"/>
        </w:numPr>
        <w:pStyle w:val="Compact"/>
      </w:pPr>
      <w:r>
        <w:t xml:space="preserve">Yang et al. (2025) JBR: hiện chưa verify được volume/pages — cần kiểm tra Crossref hoặc loại bỏ.</w:t>
      </w:r>
    </w:p>
    <w:p>
      <w:pPr>
        <w:numPr>
          <w:ilvl w:val="0"/>
          <w:numId w:val="1023"/>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23"/>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23"/>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219"/>
    <w:bookmarkStart w:id="220" w:name="audit-warnings-status-cập-nhật-v2.5"/>
    <w:p>
      <w:pPr>
        <w:pStyle w:val="Heading3"/>
      </w:pPr>
      <w:r>
        <w:t xml:space="preserve">Audit warnings status (cập nhật v2.5)</w:t>
      </w:r>
    </w:p>
    <w:p>
      <w:pPr>
        <w:pStyle w:val="FirstParagraph"/>
      </w:pPr>
      <w:r>
        <w:rPr>
          <w:bCs/>
          <w:b/>
        </w:rPr>
        <w:t xml:space="preserve">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Mục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Mục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220"/>
    <w:bookmarkEnd w:id="221"/>
    <w:bookmarkStart w:id="222"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222"/>
    <w:bookmarkStart w:id="223"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r>
        <w:t xml:space="preserve"> </w:t>
      </w:r>
      <w:r>
        <w:t xml:space="preserve">Phan, A. T., Do, T. H., &amp; Phan, M. T. (2020).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r>
        <w:t xml:space="preserve"> </w:t>
      </w: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223"/>
    <w:bookmarkStart w:id="224"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bookmarkEnd w:id="224"/>
    <w:bookmarkStart w:id="225"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225"/>
    <w:bookmarkStart w:id="229"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226" w:name="X041759103c7c799db9799d6bd71834307a428c8"/>
    <w:p>
      <w:pPr>
        <w:pStyle w:val="Heading3"/>
      </w:pPr>
      <w:r>
        <w:t xml:space="preserve">Công trình của tác giả luận án — Cập nhật Section M</w:t>
      </w:r>
    </w:p>
    <w:bookmarkEnd w:id="226"/>
    <w:bookmarkStart w:id="227"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227"/>
    <w:bookmarkStart w:id="228"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r>
        <w:t xml:space="preserve"> </w:t>
      </w: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bookmarkEnd w:id="228"/>
    <w:bookmarkEnd w:id="229"/>
    <w:bookmarkStart w:id="230" w:name="X4ad38a67506c0aa3a2d571e9cd2db0013b86176"/>
    <w:p>
      <w:pPr>
        <w:pStyle w:val="Heading2"/>
      </w:pPr>
      <w:r>
        <w:t xml:space="preserve">Bổ sung v2.8 — Thao tác hóa FSTS trực tiếp/gián tiếp (Chương 3 Mục 3.3.2, CĐ1 Mục 2.2)</w:t>
      </w:r>
    </w:p>
    <w:p>
      <w:pPr>
        <w:pStyle w:val="FirstParagraph"/>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bookmarkEnd w:id="230"/>
    <w:bookmarkStart w:id="231" w:name="X4810745a8b7558f6ac6877d26fce4f3b946fba5"/>
    <w:p>
      <w:pPr>
        <w:pStyle w:val="Heading2"/>
      </w:pPr>
      <w:r>
        <w:t xml:space="preserve">Bổ sung v2.9 — Phân biệt cấu trúc số (Chương 2 Mục 2.2.5, Chương 3 Mục 3.3.3)</w:t>
      </w:r>
    </w:p>
    <w:p>
      <w:pPr>
        <w:pStyle w:val="FirstParagraph"/>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bookmarkEnd w:id="231"/>
    <w:bookmarkStart w:id="232" w:name="X2a802b4844355bd9a9addebe0f180df0342c84e"/>
    <w:p>
      <w:pPr>
        <w:pStyle w:val="Heading2"/>
      </w:pPr>
      <w:r>
        <w:t xml:space="preserve">Bổ sung v3.0 — Hoàn thiện entry còn thiếu (rà soát Inspector 06/2026)</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Scott, W. R. (1995).</w:t>
      </w:r>
      <w:r>
        <w:t xml:space="preserve"> </w:t>
      </w:r>
      <w:r>
        <w:rPr>
          <w:iCs/>
          <w:i/>
        </w:rPr>
        <w:t xml:space="preserve">Institutions and organizations</w:t>
      </w:r>
      <w:r>
        <w:t xml:space="preserve">. Sage.</w:t>
      </w:r>
    </w:p>
    <w:bookmarkEnd w:id="232"/>
    <w:bookmarkStart w:id="233" w:name="X0abbf775f59dd3e18884b0e2af21123940b885a"/>
    <w:p>
      <w:pPr>
        <w:pStyle w:val="Heading2"/>
      </w:pPr>
      <w:r>
        <w:t xml:space="preserve">Bổ sung v2.8 — Tài liệu nền I–P kinh điển + phê phán gần đây (15/06/2026)</w:t>
      </w:r>
    </w:p>
    <w:p>
      <w:pPr>
        <w:pStyle w:val="BlockText"/>
      </w:pPr>
      <w:r>
        <w:t xml:space="preserve">Bổ sung 5 entries để củng cố nền lý thuyết MNE/FDI kinh điển và bằng chứng phê phán gần đây cho mảng internationalization–firm performance (trích dẫn trong Chương 2). DOI của Caves (1971) và Vernon (1966) để trống, sẽ xác minh trong lượt</w:t>
      </w:r>
      <w:r>
        <w:t xml:space="preserve"> </w:t>
      </w:r>
      <w:r>
        <w:rPr>
          <w:rStyle w:val="VerbatimChar"/>
        </w:rPr>
        <w:t xml:space="preserve">verify_dois.py</w:t>
      </w:r>
      <w:r>
        <w:t xml:space="preserve">.</w:t>
      </w:r>
    </w:p>
    <w:p>
      <w:pPr>
        <w:pStyle w:val="FirstParagraph"/>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r>
        <w:br w:type="page"/>
      </w:r>
    </w:p>
    <w:bookmarkEnd w:id="233"/>
    <w:bookmarkEnd w:id="234"/>
    <w:bookmarkStart w:id="245"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35"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35"/>
    <w:bookmarkStart w:id="236"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36"/>
    <w:bookmarkStart w:id="237"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(pool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pool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17 đợt khảo sát 2003–2025.</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237"/>
    <w:bookmarkStart w:id="238"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24"/>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24"/>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24"/>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24"/>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38"/>
    <w:bookmarkStart w:id="239"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pool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5"/>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5"/>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39"/>
    <w:bookmarkStart w:id="240" w:name="Xcda44a616a0294a63022c370d6fafff6af411dd"/>
    <w:p>
      <w:pPr>
        <w:pStyle w:val="Heading2"/>
      </w:pPr>
      <w:r>
        <w:t xml:space="preserve">A.6 Chiến lược hợp nhất kinh tế lượng (pooled repeated cross-sections)</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40"/>
    <w:bookmarkStart w:id="241"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pool</w:t>
      </w:r>
      <w:r>
        <w:t xml:space="preserve"> </w:t>
      </w:r>
      <w:r>
        <w:t xml:space="preserve">phân loại 52 nền cho mục đích độ vững (riêng Comoros được dùng trong kiểm định độ vững</w:t>
      </w:r>
      <w:r>
        <w:t xml:space="preserve"> </w:t>
      </w:r>
      <w:r>
        <w:t xml:space="preserve">mở rộng của P8).</w:t>
      </w:r>
    </w:p>
    <w:bookmarkEnd w:id="241"/>
    <w:bookmarkStart w:id="242"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42"/>
    <w:bookmarkStart w:id="243"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243"/>
    <w:bookmarkStart w:id="244"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&amp; dữ liệu:</w:t>
      </w:r>
      <w:r>
        <w:rPr>
          <w:iCs/>
          <w:i/>
        </w:rPr>
        <w:t xml:space="preserve"> </w:t>
      </w:r>
      <w:r>
        <w:rPr>
          <w:rStyle w:val="VerbatimChar"/>
          <w:iCs/>
          <w:i/>
        </w:rPr>
        <w:t xml:space="preserve">scripts/build_pooled_dataset.py</w:t>
      </w:r>
      <w:r>
        <w:rPr>
          <w:iCs/>
          <w:i/>
        </w:rPr>
        <w:t xml:space="preserve">,</w:t>
      </w:r>
      <w:r>
        <w:rPr>
          <w:iCs/>
          <w:i/>
        </w:rPr>
        <w:t xml:space="preserve"> </w:t>
      </w:r>
      <w:r>
        <w:rPr>
          <w:rStyle w:val="VerbatimChar"/>
          <w:iCs/>
          <w:i/>
        </w:rPr>
        <w:t xml:space="preserve">scripts/wbes_canon.py</w:t>
      </w:r>
      <w:r>
        <w:rPr>
          <w:iCs/>
          <w:i/>
        </w:rPr>
        <w:t xml:space="preserve">,</w:t>
      </w:r>
      <w:r>
        <w:rPr>
          <w:iCs/>
          <w:i/>
        </w:rPr>
        <w:t xml:space="preserve"> </w:t>
      </w:r>
      <w:r>
        <w:rPr>
          <w:rStyle w:val="VerbatimChar"/>
          <w:iCs/>
          <w:i/>
        </w:rPr>
        <w:t xml:space="preserve">scripts/cd1_descriptives_pipeline.py</w:t>
      </w:r>
      <w:r>
        <w:rPr>
          <w:iCs/>
          <w:i/>
        </w:rPr>
        <w:t xml:space="preserve">;</w:t>
      </w:r>
      <w:r>
        <w:rPr>
          <w:iCs/>
          <w:i/>
        </w:rPr>
        <w:t xml:space="preserve"> </w:t>
      </w:r>
      <w:r>
        <w:rPr>
          <w:rStyle w:val="VerbatimChar"/>
          <w:iCs/>
          <w:i/>
        </w:rPr>
        <w:t xml:space="preserve">data_wbes/analysis/pooled_dataflow.csv</w:t>
      </w:r>
      <w:r>
        <w:rPr>
          <w:iCs/>
          <w:i/>
        </w:rPr>
        <w:t xml:space="preserve">,</w:t>
      </w:r>
      <w:r>
        <w:rPr>
          <w:iCs/>
          <w:i/>
        </w:rPr>
        <w:t xml:space="preserve"> </w:t>
      </w:r>
      <w:r>
        <w:rPr>
          <w:rStyle w:val="VerbatimChar"/>
          <w:iCs/>
          <w:i/>
        </w:rPr>
        <w:t xml:space="preserve">DATA_UPDATE_MANIFEST.md</w:t>
      </w:r>
      <w:r>
        <w:rPr>
          <w:iCs/>
          <w:i/>
        </w:rPr>
        <w:t xml:space="preserve">,</w:t>
      </w:r>
      <w:r>
        <w:rPr>
          <w:iCs/>
          <w:i/>
        </w:rPr>
        <w:t xml:space="preserve"> </w:t>
      </w:r>
      <w:r>
        <w:rPr>
          <w:rStyle w:val="VerbatimChar"/>
          <w:iCs/>
          <w:i/>
        </w:rPr>
        <w:t xml:space="preserve">CANONICAL_RECONCILIATION.md</w:t>
      </w:r>
      <w:r>
        <w:rPr>
          <w:iCs/>
          <w:i/>
        </w:rPr>
        <w:t xml:space="preserve">.</w:t>
      </w:r>
    </w:p>
    <w:p>
      <w:r>
        <w:br w:type="page"/>
      </w:r>
    </w:p>
    <w:bookmarkEnd w:id="244"/>
    <w:bookmarkEnd w:id="24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150" Target="media/rId1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2026-06-16T02:47:51Z</dcterms:created>
  <dcterms:modified xsi:type="dcterms:W3CDTF">2026-06-16T02:47:51Z</dcterms:modified>
</cp:coreProperties>
</file>

<file path=docProps/custom.xml><?xml version="1.0" encoding="utf-8"?>
<Properties xmlns="http://schemas.openxmlformats.org/officeDocument/2006/custom-properties" xmlns:vt="http://schemas.openxmlformats.org/officeDocument/2006/docPropsVTypes"/>
</file>