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8"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Start w:id="27" w:name="Xaf1604a6b1879e72a06558e5e5346d4255108c6"/>
    <w:p>
      <w:pPr>
        <w:pStyle w:val="Heading3"/>
      </w:pPr>
      <w:r>
        <w:t xml:space="preserve">3.2.4 Công cụ trích xuất dữ liệu M-AIDA và chuỗi quy đổi hiệu ứng</w:t>
      </w:r>
    </w:p>
    <w:p>
      <w:pPr>
        <w:pStyle w:val="FirstParagraph"/>
      </w:pPr>
      <w:r>
        <w:rPr>
          <w:bCs/>
          <w:b/>
        </w:rPr>
        <w:t xml:space="preserve">Cơ sở lý luận.</w:t>
      </w:r>
      <w:r>
        <w:t xml:space="preserve"> </w:t>
      </w:r>
      <w:r>
        <w:t xml:space="preserve">Trích xuất dữ liệu là khâu tốn công và dễ sai sót nhất của tổng quan hệ thống: rà soát phương pháp luận của Mathes và cộng sự (2017) ghi nhận tỷ lệ lỗi trích xuất lên tới 50% và các lỗi này tác động trực tiếp đến ước lượng độ lớn hiệu ứng, đe dọa giá trị của kết luận phân tích tổng hợp. Nhằm giảm gánh nặng thủ công và sai số đó, một lĩnh vực phương pháp luận về</w:t>
      </w:r>
      <w:r>
        <w:t xml:space="preserve"> </w:t>
      </w:r>
      <w:r>
        <w:rPr>
          <w:bCs/>
          <w:b/>
        </w:rPr>
        <w:t xml:space="preserve">tự động hóa tổng quan hệ thống (systematic review automation)</w:t>
      </w:r>
      <w:r>
        <w:t xml:space="preserve"> </w:t>
      </w:r>
      <w:r>
        <w:t xml:space="preserve">đã hình thành và được hệ thống hóa (Tsafnat et al., 2014; Marshall &amp; Wallace, 2019), trong đó tự động hóa khâu trích xuất dữ liệu được khảo sát riêng như một hướng khả thi (Jonnalagadda et al., 2015). Đồng thuận phương pháp luận nhấn mạnh rằng tự động hóa chỉ đóng vai</w:t>
      </w:r>
      <w:r>
        <w:t xml:space="preserve"> </w:t>
      </w:r>
      <w:r>
        <w:rPr>
          <w:bCs/>
          <w:b/>
        </w:rPr>
        <w:t xml:space="preserve">hỗ trợ</w:t>
      </w:r>
      <w:r>
        <w:t xml:space="preserve"> </w:t>
      </w:r>
      <w:r>
        <w:t xml:space="preserve">chứ không thay thế phán đoán của nhà nghiên cứu — tức nguyên lý</w:t>
      </w:r>
      <w:r>
        <w:t xml:space="preserve"> </w:t>
      </w:r>
      <w:r>
        <w:rPr>
          <w:bCs/>
          <w:b/>
        </w:rPr>
        <w:t xml:space="preserve">con người trong vòng lặp (human-in-the-loop)</w:t>
      </w:r>
      <w:r>
        <w:t xml:space="preserve">. Bằng chứng gần đây củng cố cách tiếp cận này: nghiên cứu thử nghiệm của Gartlehner và cộng sự (2024) cho thấy một mô hình ngôn ngữ lớn (Claude) có thể trích xuất dữ liệu cho tổng hợp bằng chứng đạt độ chính xác cao, và kết luận rằng chính</w:t>
      </w:r>
      <w:r>
        <w:t xml:space="preserve"> </w:t>
      </w:r>
      <w:r>
        <w:rPr>
          <w:bCs/>
          <w:b/>
        </w:rPr>
        <w:t xml:space="preserve">sự cộng hưởng giữa chuyên môn của con người và mô hình ngôn ngữ lớn</w:t>
      </w:r>
      <w:r>
        <w:t xml:space="preserve"> </w:t>
      </w:r>
      <w:r>
        <w:t xml:space="preserve">mới nâng cao được chất lượng và hiệu suất trích xuất. Thiết kế của M-AIDA kế thừa trực tiếp đồng thuận phương pháp luận này.</w:t>
      </w:r>
    </w:p>
    <w:p>
      <w:pPr>
        <w:pStyle w:val="BodyText"/>
      </w:pPr>
      <w:r>
        <w:t xml:space="preserve">Trên nền tảng đó, luận án phát triển và sử dụng</w:t>
      </w:r>
      <w:r>
        <w:t xml:space="preserve"> </w:t>
      </w:r>
      <w:r>
        <w:rPr>
          <w:bCs/>
          <w:b/>
        </w:rPr>
        <w:t xml:space="preserve">M-AIDA (Meta-Analysis Intelligent Data Assistant)</w:t>
      </w:r>
      <w:r>
        <w:t xml:space="preserve">, một công cụ trích xuất bán tự động chuyên biệt cho quan hệ I-P do tác giả xây dựng (đã lập hồ sơ đăng ký quyền tác giả tại Cục Bản quyền Tác giả Việt Nam). M-AIDA vận hành theo nguyên lý</w:t>
      </w:r>
      <w:r>
        <w:t xml:space="preserve"> </w:t>
      </w:r>
      <w:r>
        <w:rPr>
          <w:bCs/>
          <w:b/>
        </w:rPr>
        <w:t xml:space="preserve">con người trong vòng lặp (human-in-the-loop)</w:t>
      </w:r>
      <w:r>
        <w:t xml:space="preserve">: mô hình ngôn ngữ lớn hoặc bộ quy tắc biểu thức chính quy chỉ tạo ra</w:t>
      </w:r>
      <w:r>
        <w:t xml:space="preserve"> </w:t>
      </w:r>
      <w:r>
        <w:rPr>
          <w:iCs/>
          <w:i/>
        </w:rPr>
        <w:t xml:space="preserve">bản nháp</w:t>
      </w:r>
      <w:r>
        <w:t xml:space="preserve"> </w:t>
      </w:r>
      <w:r>
        <w:t xml:space="preserve">trích xuất kèm đoạn trích nguồn nguyên văn; nghiên cứu sinh chủ trì bắt buộc rà soát, hiệu chỉnh và xác nhận từng đại lượng, sau đó bản ghi mới được</w:t>
      </w:r>
      <w:r>
        <w:t xml:space="preserve"> </w:t>
      </w:r>
      <w:r>
        <w:rPr>
          <w:bCs/>
          <w:b/>
        </w:rPr>
        <w:t xml:space="preserve">khóa</w:t>
      </w:r>
      <w:r>
        <w:t xml:space="preserve"> </w:t>
      </w:r>
      <w:r>
        <w:t xml:space="preserve">kèm dấu thời gian để bảo đảm vết kiểm toán và khả năng tái lập. Tự động hóa rút ngắn thời gian, còn con người chịu trách nhiệm cuối cùng về tính hợp lệ của từng số liệu; do đó kết quả phân tích tổng hợp không lệ thuộc vào tính tự động của phần mềm.</w:t>
      </w:r>
    </w:p>
    <w:p>
      <w:pPr>
        <w:pStyle w:val="BodyText"/>
      </w:pPr>
      <w:r>
        <w:t xml:space="preserve">Khi hệ số tương quan Pearson</w:t>
      </w:r>
      <w:r>
        <w:t xml:space="preserve"> </w:t>
      </w:r>
      <m:oMath>
        <m:r>
          <m:t>r</m:t>
        </m:r>
      </m:oMath>
      <w:r>
        <w:t xml:space="preserve"> </w:t>
      </w:r>
      <w:r>
        <w:t xml:space="preserve">không được báo cáo trực tiếp, M-AIDA áp dụng chuỗi quy đổi theo thứ tự ưu tiên về độ chính xác thống kê (Borenstein et al., 2009):</w:t>
      </w:r>
    </w:p>
    <w:tbl>
      <w:tblPr>
        <w:tblStyle w:val="Table"/>
        <w:tblW w:type="pct" w:w="5000"/>
        <w:tblLook w:firstRow="1" w:lastRow="0" w:firstColumn="0" w:lastColumn="0" w:noHBand="0" w:noVBand="0" w:val="0020"/>
        <w:jc w:val="start"/>
      </w:tblPr>
      <w:tblGrid>
        <w:gridCol w:w="1218"/>
        <w:gridCol w:w="5280"/>
        <w:gridCol w:w="1421"/>
      </w:tblGrid>
      <w:tr>
        <w:trPr>
          <w:tblHeader w:val="true"/>
        </w:trPr>
        <w:tc>
          <w:tcPr/>
          <w:p>
            <w:pPr>
              <w:pStyle w:val="Compact"/>
              <w:jc w:val="left"/>
            </w:pPr>
            <w:r>
              <w:t xml:space="preserve">Bước</w:t>
            </w:r>
          </w:p>
        </w:tc>
        <w:tc>
          <w:tcPr/>
          <w:p>
            <w:pPr>
              <w:pStyle w:val="Compact"/>
              <w:jc w:val="left"/>
            </w:pPr>
            <w:r>
              <w:t xml:space="preserve">Công thức quy đổi về</w:t>
            </w:r>
            <w:r>
              <w:t xml:space="preserve"> </w:t>
            </w:r>
            <m:oMath>
              <m:r>
                <m:t>r</m:t>
              </m:r>
            </m:oMath>
          </w:p>
        </w:tc>
        <w:tc>
          <w:tcPr/>
          <w:p>
            <w:pPr>
              <w:pStyle w:val="Compact"/>
              <w:jc w:val="left"/>
            </w:pPr>
            <w:r>
              <w:t xml:space="preserve">Nguồn</w:t>
            </w:r>
          </w:p>
        </w:tc>
      </w:tr>
      <w:tr>
        <w:tc>
          <w:tcPr/>
          <w:p>
            <w:pPr>
              <w:pStyle w:val="Compact"/>
              <w:jc w:val="left"/>
            </w:pPr>
            <w:r>
              <w:t xml:space="preserve">(i)</w:t>
            </w:r>
          </w:p>
        </w:tc>
        <w:tc>
          <w:tcPr/>
          <w:p>
            <w:pPr>
              <w:pStyle w:val="Compact"/>
              <w:jc w:val="left"/>
            </w:pP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giữ dấu theo chiều hệ số</w:t>
            </w:r>
          </w:p>
        </w:tc>
        <w:tc>
          <w:tcPr/>
          <w:p>
            <w:pPr>
              <w:pStyle w:val="Compact"/>
              <w:jc w:val="left"/>
            </w:pPr>
            <w:r>
              <w:t xml:space="preserve">Cohen (1988)</w:t>
            </w:r>
          </w:p>
        </w:tc>
      </w:tr>
      <w:tr>
        <w:tc>
          <w:tcPr/>
          <w:p>
            <w:pPr>
              <w:pStyle w:val="Compact"/>
              <w:jc w:val="left"/>
            </w:pPr>
            <w:r>
              <w:t xml:space="preserve">(ii)</w:t>
            </w:r>
          </w:p>
        </w:tc>
        <w:tc>
          <w:tcPr/>
          <w:p>
            <w:pPr>
              <w:pStyle w:val="Compact"/>
              <w:jc w:val="left"/>
            </w:pPr>
            <m:oMath>
              <m:sSub>
                <m:e>
                  <m:r>
                    <m:t>r</m:t>
                  </m:r>
                </m:e>
                <m:sub>
                  <m:r>
                    <m:rPr>
                      <m:nor/>
                      <m:sty m:val="p"/>
                    </m:rPr>
                    <m:t>partial</m:t>
                  </m:r>
                </m:sub>
              </m:sSub>
              <m:r>
                <m:rPr>
                  <m:sty m:val="p"/>
                </m:rPr>
                <m:t>=</m:t>
              </m:r>
              <m:r>
                <m:t>0</m:t>
              </m:r>
              <m:r>
                <m:rPr>
                  <m:sty m:val="p"/>
                </m:rPr>
                <m:t>,</m:t>
              </m:r>
              <m:r>
                <m:t>98</m:t>
              </m:r>
              <m:r>
                <m:rPr>
                  <m:sty m:val="p"/>
                </m:rPr>
                <m:t>×</m:t>
              </m:r>
              <m:r>
                <m:t>β</m:t>
              </m:r>
            </m:oMath>
            <w:r>
              <w:t xml:space="preserve"> </w:t>
            </w:r>
            <w:r>
              <w:t xml:space="preserve">(từ hệ số hồi quy chuẩn hóa)</w:t>
            </w:r>
          </w:p>
        </w:tc>
        <w:tc>
          <w:tcPr/>
          <w:p>
            <w:pPr>
              <w:pStyle w:val="Compact"/>
              <w:jc w:val="left"/>
            </w:pPr>
            <w:r>
              <w:t xml:space="preserve">Peterson &amp; Brown (2005)</w:t>
            </w:r>
          </w:p>
        </w:tc>
      </w:tr>
      <w:tr>
        <w:tc>
          <w:tcPr/>
          <w:p>
            <w:pPr>
              <w:pStyle w:val="Compact"/>
              <w:jc w:val="left"/>
            </w:pPr>
            <w:r>
              <w:t xml:space="preserve">(iii)</w:t>
            </w:r>
          </w:p>
        </w:tc>
        <w:tc>
          <w:tcPr/>
          <w:p>
            <w:pPr>
              <w:pStyle w:val="Compact"/>
              <w:jc w:val="left"/>
            </w:pP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với</w:t>
            </w:r>
            <w:r>
              <w:t xml:space="preserve"> </w:t>
            </w:r>
            <m:oMath>
              <m:r>
                <m:t>d</m:t>
              </m:r>
              <m:sSub>
                <m:e>
                  <m:r>
                    <m:t>f</m:t>
                  </m:r>
                </m:e>
                <m:sub>
                  <m:r>
                    <m:t>1</m:t>
                  </m:r>
                </m:sub>
              </m:sSub>
              <m:r>
                <m:rPr>
                  <m:sty m:val="p"/>
                </m:rPr>
                <m:t>=</m:t>
              </m:r>
              <m:r>
                <m:t>1</m:t>
              </m:r>
            </m:oMath>
          </w:p>
        </w:tc>
        <w:tc>
          <w:tcPr/>
          <w:p>
            <w:pPr>
              <w:pStyle w:val="Compact"/>
              <w:jc w:val="left"/>
            </w:pPr>
            <w:r>
              <w:t xml:space="preserve">Rosenthal (1994)</w:t>
            </w:r>
          </w:p>
        </w:tc>
      </w:tr>
    </w:tbl>
    <w:p>
      <w:pPr>
        <w:pStyle w:val="BodyText"/>
      </w:pPr>
      <w:r>
        <w:t xml:space="preserve">Nghiên cứu chỉ báo cáo</w:t>
      </w:r>
      <w:r>
        <w:t xml:space="preserve"> </w:t>
      </w:r>
      <m:oMath>
        <m:r>
          <m:t>β</m:t>
        </m:r>
      </m:oMath>
      <w:r>
        <w:t xml:space="preserve"> </w:t>
      </w:r>
      <w:r>
        <w:t xml:space="preserve">chưa chuẩn hóa mà không kèm thống kê</w:t>
      </w:r>
      <w:r>
        <w:t xml:space="preserve"> </w:t>
      </w:r>
      <m:oMath>
        <m:r>
          <m:t>t</m:t>
        </m:r>
      </m:oMath>
      <w:r>
        <w:t xml:space="preserve"> </w:t>
      </w:r>
      <w:r>
        <w:t xml:space="preserve">và</w:t>
      </w:r>
      <w:r>
        <w:t xml:space="preserve"> </w:t>
      </w:r>
      <m:oMath>
        <m:r>
          <m:t>d</m:t>
        </m:r>
        <m:r>
          <m:t>f</m:t>
        </m:r>
      </m:oMath>
      <w:r>
        <w:t xml:space="preserve"> </w:t>
      </w:r>
      <w:r>
        <w:t xml:space="preserve">bị loại khỏi mẫu, trừ khi giá trị</w:t>
      </w:r>
      <w:r>
        <w:t xml:space="preserve"> </w:t>
      </w:r>
      <m:oMath>
        <m:r>
          <m:t>p</m:t>
        </m:r>
      </m:oMath>
      <w:r>
        <w:t xml:space="preserve"> </w:t>
      </w:r>
      <w:r>
        <w:t xml:space="preserve">cho phép tối thiểu phân loại chiều hướng. Mọi</w:t>
      </w:r>
      <w:r>
        <w:t xml:space="preserve"> </w:t>
      </w:r>
      <m:oMath>
        <m:r>
          <m:t>r</m:t>
        </m:r>
      </m:oMath>
      <w:r>
        <w:t xml:space="preserve"> </w:t>
      </w:r>
      <w:r>
        <w:t xml:space="preserve">sau đó được biến đổi sang thang Fisher</w:t>
      </w:r>
      <w:r>
        <w:t xml:space="preserve"> </w:t>
      </w:r>
      <m:oMath>
        <m:r>
          <m:t>z</m:t>
        </m:r>
        <m:r>
          <m:rPr>
            <m:sty m:val="p"/>
          </m:rPr>
          <m:t>=</m:t>
        </m:r>
        <m:f>
          <m:fPr>
            <m:type m:val="lin"/>
          </m:fPr>
          <m:num>
            <m:r>
              <m:t>1</m:t>
            </m:r>
          </m:num>
          <m:den>
            <m:r>
              <m:t>2</m:t>
            </m:r>
          </m:den>
        </m:f>
        <m:r>
          <m:rPr>
            <m:sty m:val="p"/>
          </m:rPr>
          <m:t>ln</m:t>
        </m:r>
        <m:d>
          <m:dPr>
            <m:begChr m:val="["/>
            <m:endChr m:val="]"/>
            <m:sepChr m:val=""/>
            <m:grow/>
          </m:dPr>
          <m:e>
            <m:d>
              <m:dPr>
                <m:begChr m:val="("/>
                <m:endChr m:val=")"/>
                <m:sepChr m:val=""/>
                <m:grow/>
              </m:dPr>
              <m:e>
                <m:r>
                  <m:t>1</m:t>
                </m:r>
                <m:r>
                  <m:rPr>
                    <m:sty m:val="p"/>
                  </m:rPr>
                  <m:t>+</m:t>
                </m:r>
                <m:r>
                  <m:t>r</m:t>
                </m:r>
              </m:e>
            </m:d>
            <m:r>
              <m:rPr>
                <m:sty m:val="p"/>
              </m:rPr>
              <m:t>/</m:t>
            </m:r>
            <m:d>
              <m:dPr>
                <m:begChr m:val="("/>
                <m:endChr m:val=")"/>
                <m:sepChr m:val=""/>
                <m:grow/>
              </m:dPr>
              <m:e>
                <m:r>
                  <m:t>1</m:t>
                </m:r>
                <m:r>
                  <m:rPr>
                    <m:sty m:val="p"/>
                  </m:rPr>
                  <m:t>−</m:t>
                </m:r>
                <m:r>
                  <m:t>r</m:t>
                </m:r>
              </m:e>
            </m:d>
          </m:e>
        </m:d>
      </m:oMath>
      <w:r>
        <w:t xml:space="preserve"> </w:t>
      </w:r>
      <w:r>
        <w:t xml:space="preserve">để ổn định phương sai trước khi gộp (Hedges &amp; Olkin, 1985); mọi giá trị</w:t>
      </w:r>
      <w:r>
        <w:t xml:space="preserve"> </w:t>
      </w:r>
      <m:oMath>
        <m:d>
          <m:dPr>
            <m:begChr m:val="|"/>
            <m:endChr m:val="|"/>
            <m:sepChr m:val=""/>
            <m:grow/>
          </m:dPr>
          <m:e>
            <m:r>
              <m:t>r</m:t>
            </m:r>
          </m:e>
        </m:d>
        <m:r>
          <m:rPr>
            <m:sty m:val="p"/>
          </m:rPr>
          <m:t>≥</m:t>
        </m:r>
        <m:r>
          <m:t>1</m:t>
        </m:r>
      </m:oMath>
      <w:r>
        <w:t xml:space="preserve"> </w:t>
      </w:r>
      <w:r>
        <w:t xml:space="preserve">đều bị loại. Quy trình mã hóa và độ tin cậy liên mã hóa viên (Cohen’s</w:t>
      </w:r>
      <w:r>
        <w:t xml:space="preserve"> </w:t>
      </w:r>
      <m:oMath>
        <m:r>
          <m:t>κ</m:t>
        </m:r>
        <m:r>
          <m:rPr>
            <m:sty m:val="p"/>
          </m:rPr>
          <m:t>≥</m:t>
        </m:r>
        <m:r>
          <m:t>0</m:t>
        </m:r>
        <m:r>
          <m:rPr>
            <m:sty m:val="p"/>
          </m:rPr>
          <m:t>,</m:t>
        </m:r>
        <m:r>
          <m:t>70</m:t>
        </m:r>
      </m:oMath>
      <w:r>
        <w:t xml:space="preserve">) được trình bày chi tiết trong bài báo phân tích tổng hợp thành phần (P6).</w:t>
      </w:r>
    </w:p>
    <w:bookmarkEnd w:id="27"/>
    <w:bookmarkEnd w:id="28"/>
    <w:bookmarkStart w:id="37" w:name="X2f2dc61cf51b22160123af8668c978f8ce43175"/>
    <w:p>
      <w:pPr>
        <w:pStyle w:val="Heading2"/>
      </w:pPr>
      <w:r>
        <w:t xml:space="preserve">3.3 Giai đoạn 2: Phân tích thực nghiệm đa quốc gia</w:t>
      </w:r>
    </w:p>
    <w:bookmarkStart w:id="29"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29"/>
    <w:bookmarkStart w:id="30"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30"/>
    <w:bookmarkStart w:id="31"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31"/>
    <w:bookmarkStart w:id="35" w:name="đo-lường-biến-điều-tiết"/>
    <w:p>
      <w:pPr>
        <w:pStyle w:val="Heading3"/>
      </w:pPr>
      <w:r>
        <w:t xml:space="preserve">3.3.4 Đo lường biến điều tiết</w:t>
      </w:r>
    </w:p>
    <w:bookmarkStart w:id="32"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2"/>
    <w:bookmarkStart w:id="33"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3"/>
    <w:bookmarkStart w:id="34"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4"/>
    <w:bookmarkEnd w:id="35"/>
    <w:bookmarkStart w:id="36"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6"/>
    <w:bookmarkEnd w:id="37"/>
    <w:bookmarkStart w:id="51" w:name="mô-hình-phân-tích"/>
    <w:p>
      <w:pPr>
        <w:pStyle w:val="Heading2"/>
      </w:pPr>
      <w:r>
        <w:t xml:space="preserve">3.4 Mô hình phân tích</w:t>
      </w:r>
    </w:p>
    <w:bookmarkStart w:id="38"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8"/>
    <w:bookmarkStart w:id="39"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9"/>
    <w:bookmarkStart w:id="40"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40"/>
    <w:bookmarkStart w:id="43" w:name="mô-hình-điều-tiết-h2-h6"/>
    <w:p>
      <w:pPr>
        <w:pStyle w:val="Heading3"/>
      </w:pPr>
      <w:r>
        <w:t xml:space="preserve">3.4.4 Mô hình điều tiết (H2-H6)</w:t>
      </w:r>
    </w:p>
    <w:bookmarkStart w:id="41"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1"/>
    <w:bookmarkStart w:id="42"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2"/>
    <w:bookmarkEnd w:id="43"/>
    <w:bookmarkStart w:id="44"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4"/>
    <w:bookmarkStart w:id="45"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5"/>
    <w:bookmarkStart w:id="46"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6"/>
    <w:bookmarkStart w:id="47"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47"/>
    <w:bookmarkStart w:id="48"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48"/>
    <w:bookmarkStart w:id="49"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9"/>
    <w:bookmarkStart w:id="50"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50"/>
    <w:bookmarkEnd w:id="51"/>
    <w:bookmarkStart w:id="57" w:name="kiểm-định-độ-vững"/>
    <w:p>
      <w:pPr>
        <w:pStyle w:val="Heading2"/>
      </w:pPr>
      <w:r>
        <w:t xml:space="preserve">3.5 Kiểm định độ vững</w:t>
      </w:r>
    </w:p>
    <w:bookmarkStart w:id="52"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2"/>
    <w:bookmarkStart w:id="53"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3"/>
    <w:bookmarkStart w:id="54"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4"/>
    <w:bookmarkStart w:id="55"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5"/>
    <w:bookmarkStart w:id="56"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6"/>
    <w:bookmarkEnd w:id="57"/>
    <w:bookmarkStart w:id="58"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8"/>
    <w:bookmarkStart w:id="59"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2026-05-29T03:10:39Z</dcterms:created>
  <dcterms:modified xsi:type="dcterms:W3CDTF">2026-05-29T03:10:39Z</dcterms:modified>
</cp:coreProperties>
</file>

<file path=docProps/custom.xml><?xml version="1.0" encoding="utf-8"?>
<Properties xmlns="http://schemas.openxmlformats.org/officeDocument/2006/custom-properties" xmlns:vt="http://schemas.openxmlformats.org/officeDocument/2006/docPropsVTypes"/>
</file>