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w:t>
      </w:r>
      <m:oMath>
        <m:r>
          <m:t>β</m:t>
        </m:r>
      </m:oMath>
      <w:r>
        <w:t xml:space="preserve"> </w:t>
      </w:r>
      <w:r>
        <w:t xml:space="preserve">=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our contribution is the firm-level operationalization, the FIP label that connects those macro constraints to the sign of the FSTS coefficient in I-P regressions, and the demonstration that this firm-level signature is recoverable in WBES data. We distinguish FIP from adjacent firm-level concepts including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X88086f89d30295b73ade34a6a6d72f6030bebeb"/>
    <w:p>
      <w:pPr>
        <w:pStyle w:val="Heading2"/>
      </w:pPr>
      <w:r>
        <w:t xml:space="preserve">2. Theoretical Background and Hypotheses</w:t>
      </w:r>
    </w:p>
    <w:bookmarkStart w:id="23"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X5eb800a903106e48a684e9ea9de39ed619b9df8"/>
    <w:p>
      <w:pPr>
        <w:pStyle w:val="Heading2"/>
      </w:pPr>
      <w:r>
        <w:t xml:space="preserve">3. Data and Methods</w:t>
      </w:r>
    </w:p>
    <w:bookmarkStart w:id="28"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X121719332867ee227f0a04b486098cee978c6e6"/>
    <w:p>
      <w:pPr>
        <w:pStyle w:val="Heading2"/>
      </w:pPr>
      <w:r>
        <w:t xml:space="preserve">4. Results</w:t>
      </w:r>
    </w:p>
    <w:bookmarkStart w:id="32"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 .052); foreign ownership shows a marginally negative association (</w:t>
      </w:r>
      <m:oMath>
        <m:r>
          <m:t>β</m:t>
        </m:r>
      </m:oMath>
      <w:r>
        <w:t xml:space="preserve"> </w:t>
      </w:r>
      <w:r>
        <w:t xml:space="preserve">= −0.006, p = .056), perhaps reflecting thin foreign investment efficiency in SIDS contexts; firm size is positive but non-significant (</w:t>
      </w:r>
      <m:oMath>
        <m:r>
          <m:t>β</m:t>
        </m:r>
      </m:oMath>
      <w:r>
        <w:t xml:space="preserve"> </w:t>
      </w:r>
      <w:r>
        <w:t xml:space="preserve">= +0.082, p = .242).</w:t>
      </w:r>
    </w:p>
    <w:bookmarkEnd w:id="33"/>
    <w:bookmarkStart w:id="34"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our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 .265 (n.s.)</w:t>
      </w:r>
      <w:r>
        <w:t xml:space="preserve"> </w:t>
      </w:r>
      <m:oMath>
        <m:r>
          <m:t>β</m:t>
        </m:r>
      </m:oMath>
      <w:r>
        <w:t xml:space="preserve">(</w:t>
      </w:r>
      <m:oMath>
        <m:sSubSup>
          <m:e>
            <m:r>
              <m:rPr>
                <m:nor/>
                <m:sty m:val="p"/>
              </m:rPr>
              <m:t>FSTS</m:t>
            </m:r>
          </m:e>
          <m:sub>
            <m:r>
              <m:t>c</m:t>
            </m:r>
          </m:sub>
          <m:sup>
            <m:r>
              <m:t>2</m:t>
            </m:r>
          </m:sup>
        </m:sSubSup>
      </m:oMath>
      <w:r>
        <w:t xml:space="preserve">)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 .495 (n.s.)</w:t>
      </w:r>
      <w:r>
        <w:t xml:space="preserve"> </w:t>
      </w:r>
      <m:oMath>
        <m:r>
          <m:t>β</m:t>
        </m:r>
      </m:oMath>
      <w:r>
        <w:t xml:space="preserve">(</w:t>
      </w:r>
      <m:oMath>
        <m:sSub>
          <m:e>
            <m:r>
              <m:rPr>
                <m:nor/>
                <m:sty m:val="p"/>
              </m:rPr>
              <m:t>DAI</m:t>
            </m:r>
          </m:e>
          <m:sub>
            <m:r>
              <m:t>z</m:t>
            </m:r>
          </m:sub>
        </m:sSub>
      </m:oMath>
      <w:r>
        <w:t xml:space="preserve">) = +0.062, SE = 0.073, p =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 .495) and digital adoption (</w:t>
      </w:r>
      <m:oMath>
        <m:sSub>
          <m:e>
            <m:r>
              <m:rPr>
                <m:nor/>
                <m:sty m:val="p"/>
              </m:rPr>
              <m:t>DAI</m:t>
            </m:r>
          </m:e>
          <m:sub>
            <m:r>
              <m:t>z</m:t>
            </m:r>
          </m:sub>
        </m:sSub>
      </m:oMath>
      <w:r>
        <w:t xml:space="preserve">:</w:t>
      </w:r>
      <w:r>
        <w:t xml:space="preserve"> </w:t>
      </w:r>
      <m:oMath>
        <m:r>
          <m:t>β</m:t>
        </m:r>
      </m:oMath>
      <w:r>
        <w:t xml:space="preserve"> </w:t>
      </w:r>
      <w:r>
        <w:t xml:space="preserve">= +0.062, SE = 0.073, p =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 .001; M_bivariate:</w:t>
      </w:r>
      <w:r>
        <w:t xml:space="preserve"> </w:t>
      </w:r>
      <m:oMath>
        <m:r>
          <m:t>β</m:t>
        </m:r>
      </m:oMath>
      <w:r>
        <w:t xml:space="preserve"> </w:t>
      </w:r>
      <w:r>
        <w:t xml:space="preserve">= −1.596, p &lt; .001; exporters-only:</w:t>
      </w:r>
      <w:r>
        <w:t xml:space="preserve"> </w:t>
      </w:r>
      <m:oMath>
        <m:r>
          <m:t>β</m:t>
        </m:r>
      </m:oMath>
      <w:r>
        <w:t xml:space="preserve"> </w:t>
      </w:r>
      <w:r>
        <w:t xml:space="preserve">= −0.901, p = .027); and (iv) null capability moderation (M3:</w:t>
      </w:r>
      <w:r>
        <w:t xml:space="preserve"> </w:t>
      </w:r>
      <m:oMath>
        <m:sSub>
          <m:e>
            <m:r>
              <m:rPr>
                <m:nor/>
                <m:sty m:val="p"/>
              </m:rPr>
              <m:t>TCI</m:t>
            </m:r>
          </m:e>
          <m:sub>
            <m:r>
              <m:t>z</m:t>
            </m:r>
          </m:sub>
        </m:sSub>
      </m:oMath>
      <w:r>
        <w:t xml:space="preserve"> </w:t>
      </w:r>
      <w:r>
        <w:t xml:space="preserve">p = .495;</w:t>
      </w:r>
      <w:r>
        <w:t xml:space="preserve"> </w:t>
      </w:r>
      <m:oMath>
        <m:sSub>
          <m:e>
            <m:r>
              <m:rPr>
                <m:nor/>
                <m:sty m:val="p"/>
              </m:rPr>
              <m:t>DAI</m:t>
            </m:r>
          </m:e>
          <m:sub>
            <m:r>
              <m:t>z</m:t>
            </m:r>
          </m:sub>
        </m:sSub>
      </m:oMath>
      <w:r>
        <w:t xml:space="preserve"> </w:t>
      </w:r>
      <w:r>
        <w:t xml:space="preserve">p = .402).</w:t>
      </w:r>
    </w:p>
    <w:p>
      <w:r>
        <w:pict>
          <v:rect style="width:0;height:1.5pt" o:hralign="center" o:hrstd="t" o:hr="t"/>
        </w:pict>
      </w:r>
    </w:p>
    <w:bookmarkEnd w:id="37"/>
    <w:bookmarkEnd w:id="38"/>
    <w:bookmarkStart w:id="44" w:name="X735612638e4e736e4693e459c258977262c0dfc"/>
    <w:p>
      <w:pPr>
        <w:pStyle w:val="Heading2"/>
      </w:pPr>
      <w:r>
        <w:t xml:space="preserve">5. Discussion</w:t>
      </w:r>
    </w:p>
    <w:bookmarkStart w:id="39"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a30c3062e38861be110fa8b68be2e42e1dcb57"/>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3"/>
    <w:bookmarkEnd w:id="44"/>
    <w:bookmarkStart w:id="45"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w:t>
      </w:r>
      <m:oMath>
        <m:r>
          <m:t>β</m:t>
        </m:r>
      </m:oMath>
      <w:r>
        <w:t xml:space="preserve"> </w:t>
      </w:r>
      <w:r>
        <w:t xml:space="preserve">= −0.404, p = .032 in the primary country-and-year fixed-effects model;</w:t>
      </w:r>
      <w:r>
        <w:t xml:space="preserve"> </w:t>
      </w:r>
      <m:oMath>
        <m:r>
          <m:t>β</m:t>
        </m:r>
      </m:oMath>
      <w:r>
        <w:t xml:space="preserve"> </w:t>
      </w:r>
      <w:r>
        <w:t xml:space="preserve">= −1.236, p &lt; .001 without country fixed effects;</w:t>
      </w:r>
      <w:r>
        <w:t xml:space="preserve"> </w:t>
      </w:r>
      <m:oMath>
        <m:r>
          <m:t>β</m:t>
        </m:r>
      </m:oMath>
      <w:r>
        <w:t xml:space="preserve"> </w:t>
      </w:r>
      <w:r>
        <w:t xml:space="preserve">=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7" w:name="acknowledgements"/>
    <w:p>
      <w:pPr>
        <w:pStyle w:val="Heading2"/>
      </w:pPr>
      <w:r>
        <w:t xml:space="preserve">Acknowledgements</w:t>
      </w:r>
    </w:p>
    <w:p>
      <w:pPr>
        <w:pStyle w:val="FirstParagraph"/>
      </w:pPr>
      <w:r>
        <w:t xml:space="preserve">Source: World Bank Enterprise Surveys (WBES),</w:t>
      </w:r>
      <w:r>
        <w:t xml:space="preserve"> </w:t>
      </w:r>
      <w:hyperlink r:id="rId46">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7"/>
    <w:bookmarkStart w:id="48"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8"/>
    <w:bookmarkStart w:id="49"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9"/>
    <w:bookmarkStart w:id="50"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 original draft.</w:t>
      </w:r>
      <w:r>
        <w:t xml:space="preserve"> </w:t>
      </w:r>
      <w:r>
        <w:rPr>
          <w:iCs/>
          <w:i/>
        </w:rPr>
        <w:t xml:space="preserve">Author 2:</w:t>
      </w:r>
      <w:r>
        <w:t xml:space="preserve"> </w:t>
      </w:r>
      <w:r>
        <w:t xml:space="preserve">Conceptualization, Methodology, Writing — review &amp; editing, Supervision. (Full author identities provided in separate Title Page; CRediT terms per Brand et al., 2015.)</w:t>
      </w:r>
    </w:p>
    <w:bookmarkEnd w:id="50"/>
    <w:bookmarkStart w:id="51"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1"/>
    <w:bookmarkStart w:id="53" w:name="data-availability-statement"/>
    <w:p>
      <w:pPr>
        <w:pStyle w:val="Heading2"/>
      </w:pPr>
      <w:r>
        <w:t xml:space="preserve">Data Availability Statement</w:t>
      </w:r>
    </w:p>
    <w:p>
      <w:pPr>
        <w:pStyle w:val="FirstParagraph"/>
      </w:pPr>
      <w:r>
        <w:t xml:space="preserve">The World Bank Enterprise Survey microdata used in this study are publicly available at</w:t>
      </w:r>
      <w:r>
        <w:t xml:space="preserve"> </w:t>
      </w:r>
      <w:hyperlink r:id="rId52">
        <w:r>
          <w:rPr>
            <w:rStyle w:val="Hyperlink"/>
          </w:rPr>
          <w:t xml:space="preserve">https://www.enterprisesurveys.org</w:t>
        </w:r>
      </w:hyperlink>
      <w:r>
        <w:t xml:space="preserve"> </w:t>
      </w:r>
      <w:r>
        <w:t xml:space="preserve">(accessed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3"/>
    <w:bookmarkStart w:id="57"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4">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5">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7"/>
    <w:bookmarkStart w:id="61" w:name="appendix-a-tables"/>
    <w:p>
      <w:pPr>
        <w:pStyle w:val="Heading2"/>
      </w:pPr>
      <w:r>
        <w:t xml:space="preserve">Appendix A: Tables</w:t>
      </w:r>
    </w:p>
    <w:bookmarkStart w:id="58"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8"/>
    <w:bookmarkStart w:id="59"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 .032 (M1).</w:t>
      </w:r>
    </w:p>
    <w:bookmarkEnd w:id="59"/>
    <w:bookmarkStart w:id="60"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60"/>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2026-06-01T19:03:44Z</dcterms:created>
  <dcterms:modified xsi:type="dcterms:W3CDTF">2026-06-01T19:03:44Z</dcterms:modified>
</cp:coreProperties>
</file>

<file path=docProps/custom.xml><?xml version="1.0" encoding="utf-8"?>
<Properties xmlns="http://schemas.openxmlformats.org/officeDocument/2006/custom-properties" xmlns:vt="http://schemas.openxmlformats.org/officeDocument/2006/docPropsVTypes"/>
</file>