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2" w:name="author-title-page"/>
    <w:p>
      <w:pPr>
        <w:pStyle w:val="Heading1"/>
      </w:pPr>
      <w:r>
        <w:t xml:space="preserve">Author Title Page</w:t>
      </w:r>
    </w:p>
    <w:bookmarkStart w:id="20" w:name="X111b8602d2509ec0354d44a99d7a8df084e3e9b"/>
    <w:p>
      <w:pPr>
        <w:pStyle w:val="Heading2"/>
      </w:pPr>
      <w:r>
        <w:t xml:space="preserve">(Submitted separately from the blinded manuscript — not for review)</w:t>
      </w:r>
    </w:p>
    <w:p>
      <w:r>
        <w:pict>
          <v:rect style="width:0;height:1.5pt" o:hralign="center" o:hrstd="t" o:hr="t"/>
        </w:pict>
      </w:r>
    </w:p>
    <w:bookmarkEnd w:id="20"/>
    <w:bookmarkStart w:id="21" w:name="manuscript-title"/>
    <w:p>
      <w:pPr>
        <w:pStyle w:val="Heading2"/>
      </w:pPr>
      <w:r>
        <w:t xml:space="preserve">Manuscript Title</w:t>
      </w:r>
    </w:p>
    <w:p>
      <w:pPr>
        <w:pStyle w:val="FirstParagraph"/>
      </w:pPr>
      <w:r>
        <w:rPr>
          <w:bCs/>
          <w:b/>
        </w:rPr>
        <w:t xml:space="preserve">Revisiting the Internationalisation–Performance Relationship in an Emerging Market: The Roles of Technological Capability and Foundational Digital Adoption</w:t>
      </w:r>
    </w:p>
    <w:p>
      <w:pPr>
        <w:pStyle w:val="BodyText"/>
      </w:pPr>
      <w:r>
        <w:rPr>
          <w:iCs/>
          <w:i/>
        </w:rPr>
        <w:t xml:space="preserve">Target journal:</w:t>
      </w:r>
      <w:r>
        <w:t xml:space="preserve"> </w:t>
      </w:r>
      <w:r>
        <w:t xml:space="preserve">Asia Pacific Journal of Management (APJM), Springer</w:t>
      </w:r>
    </w:p>
    <w:p>
      <w:pPr>
        <w:pStyle w:val="BodyText"/>
      </w:pPr>
      <w:r>
        <w:rPr>
          <w:iCs/>
          <w:i/>
        </w:rPr>
        <w:t xml:space="preserve">Submission date:</w:t>
      </w:r>
      <w:r>
        <w:t xml:space="preserve"> </w:t>
      </w:r>
      <w:r>
        <w:t xml:space="preserve">15 May 2026</w:t>
      </w:r>
    </w:p>
    <w:p>
      <w:r>
        <w:pict>
          <v:rect style="width:0;height:1.5pt" o:hralign="center" o:hrstd="t" o:hr="t"/>
        </w:pict>
      </w:r>
    </w:p>
    <w:bookmarkEnd w:id="21"/>
    <w:bookmarkStart w:id="24" w:name="authors"/>
    <w:p>
      <w:pPr>
        <w:pStyle w:val="Heading2"/>
      </w:pPr>
      <w:r>
        <w:t xml:space="preserve">Authors</w:t>
      </w:r>
    </w:p>
    <w:bookmarkStart w:id="22" w:name="first-author"/>
    <w:p>
      <w:pPr>
        <w:pStyle w:val="Heading3"/>
      </w:pPr>
      <w:r>
        <w:t xml:space="preserve">First Author</w:t>
      </w:r>
    </w:p>
    <w:p>
      <w:pPr>
        <w:pStyle w:val="FirstParagraph"/>
      </w:pPr>
      <w:r>
        <w:rPr>
          <w:bCs/>
          <w:b/>
        </w:rPr>
        <w:t xml:space="preserve">Đỗ Thùy Hương</w:t>
      </w:r>
      <w:r>
        <w:t xml:space="preserve"> </w:t>
      </w:r>
      <w:r>
        <w:t xml:space="preserve">(Do Thuy Huong)</w:t>
      </w:r>
    </w:p>
    <w:p>
      <w:pPr>
        <w:numPr>
          <w:ilvl w:val="0"/>
          <w:numId w:val="1001"/>
        </w:numPr>
        <w:pStyle w:val="Compact"/>
      </w:pPr>
      <w:r>
        <w:rPr>
          <w:bCs/>
          <w:b/>
        </w:rPr>
        <w:t xml:space="preserve">Position:</w:t>
      </w:r>
      <w:r>
        <w:t xml:space="preserve"> </w:t>
      </w:r>
      <w:r>
        <w:t xml:space="preserve">PhD Candidate</w:t>
      </w:r>
    </w:p>
    <w:p>
      <w:pPr>
        <w:numPr>
          <w:ilvl w:val="0"/>
          <w:numId w:val="1001"/>
        </w:numPr>
        <w:pStyle w:val="Compact"/>
      </w:pPr>
      <w:r>
        <w:rPr>
          <w:bCs/>
          <w:b/>
        </w:rPr>
        <w:t xml:space="preserve">Affiliation:</w:t>
      </w:r>
      <w:r>
        <w:t xml:space="preserve"> </w:t>
      </w:r>
      <w:r>
        <w:t xml:space="preserve">School of Economics, Can Tho University (CTU)</w:t>
      </w:r>
    </w:p>
    <w:p>
      <w:pPr>
        <w:numPr>
          <w:ilvl w:val="0"/>
          <w:numId w:val="1001"/>
        </w:numPr>
        <w:pStyle w:val="Compact"/>
      </w:pPr>
      <w:r>
        <w:rPr>
          <w:bCs/>
          <w:b/>
        </w:rPr>
        <w:t xml:space="preserve">Address:</w:t>
      </w:r>
      <w:r>
        <w:t xml:space="preserve"> </w:t>
      </w:r>
      <w:r>
        <w:t xml:space="preserve">Khu II, Đường 3/2, Ninh Kiều, Cần Thơ, Vietnam</w:t>
      </w:r>
    </w:p>
    <w:p>
      <w:pPr>
        <w:numPr>
          <w:ilvl w:val="0"/>
          <w:numId w:val="1001"/>
        </w:numPr>
        <w:pStyle w:val="Compact"/>
      </w:pPr>
      <w:r>
        <w:rPr>
          <w:bCs/>
          <w:b/>
        </w:rPr>
        <w:t xml:space="preserve">Email:</w:t>
      </w:r>
      <w:r>
        <w:t xml:space="preserve"> </w:t>
      </w:r>
      <w:r>
        <w:t xml:space="preserve">huongp1323001@gstudent.ctu.edu.vn</w:t>
      </w:r>
    </w:p>
    <w:p>
      <w:pPr>
        <w:numPr>
          <w:ilvl w:val="0"/>
          <w:numId w:val="1001"/>
        </w:numPr>
        <w:pStyle w:val="Compact"/>
      </w:pPr>
      <w:r>
        <w:rPr>
          <w:bCs/>
          <w:b/>
        </w:rPr>
        <w:t xml:space="preserve">ORCID:</w:t>
      </w:r>
      <w:r>
        <w:t xml:space="preserve"> </w:t>
      </w:r>
      <w:r>
        <w:t xml:space="preserve">0000-0002-7711-2487 (https://orcid.org/0000-0002-7711-2487)</w:t>
      </w:r>
    </w:p>
    <w:p>
      <w:pPr>
        <w:numPr>
          <w:ilvl w:val="0"/>
          <w:numId w:val="1001"/>
        </w:numPr>
        <w:pStyle w:val="Compact"/>
      </w:pPr>
      <w:r>
        <w:rPr>
          <w:bCs/>
          <w:b/>
        </w:rPr>
        <w:t xml:space="preserve">Role:</w:t>
      </w:r>
      <w:r>
        <w:t xml:space="preserve"> </w:t>
      </w:r>
      <w:r>
        <w:t xml:space="preserve">First author</w:t>
      </w:r>
    </w:p>
    <w:bookmarkEnd w:id="22"/>
    <w:bookmarkStart w:id="23" w:name="second-author-corresponding-author"/>
    <w:p>
      <w:pPr>
        <w:pStyle w:val="Heading3"/>
      </w:pPr>
      <w:r>
        <w:t xml:space="preserve">Second Author (Corresponding Author)</w:t>
      </w:r>
    </w:p>
    <w:p>
      <w:pPr>
        <w:pStyle w:val="FirstParagraph"/>
      </w:pPr>
      <w:r>
        <w:rPr>
          <w:bCs/>
          <w:b/>
        </w:rPr>
        <w:t xml:space="preserve">Phan Anh Tú</w:t>
      </w:r>
      <w:r>
        <w:t xml:space="preserve"> </w:t>
      </w:r>
      <w:r>
        <w:t xml:space="preserve">(Phan Anh Tu)</w:t>
      </w:r>
    </w:p>
    <w:p>
      <w:pPr>
        <w:numPr>
          <w:ilvl w:val="0"/>
          <w:numId w:val="1002"/>
        </w:numPr>
        <w:pStyle w:val="Compact"/>
      </w:pPr>
      <w:r>
        <w:rPr>
          <w:bCs/>
          <w:b/>
        </w:rPr>
        <w:t xml:space="preserve">Title:</w:t>
      </w:r>
      <w:r>
        <w:t xml:space="preserve"> </w:t>
      </w:r>
      <w:r>
        <w:t xml:space="preserve">Associate Professor (PGS.TS.)</w:t>
      </w:r>
    </w:p>
    <w:p>
      <w:pPr>
        <w:numPr>
          <w:ilvl w:val="0"/>
          <w:numId w:val="1002"/>
        </w:numPr>
        <w:pStyle w:val="Compact"/>
      </w:pPr>
      <w:r>
        <w:rPr>
          <w:bCs/>
          <w:b/>
        </w:rPr>
        <w:t xml:space="preserve">Affiliation:</w:t>
      </w:r>
      <w:r>
        <w:t xml:space="preserve"> </w:t>
      </w:r>
      <w:r>
        <w:t xml:space="preserve">School of Economics, Can Tho University (CTU)</w:t>
      </w:r>
    </w:p>
    <w:p>
      <w:pPr>
        <w:numPr>
          <w:ilvl w:val="0"/>
          <w:numId w:val="1002"/>
        </w:numPr>
        <w:pStyle w:val="Compact"/>
      </w:pPr>
      <w:r>
        <w:rPr>
          <w:bCs/>
          <w:b/>
        </w:rPr>
        <w:t xml:space="preserve">Address:</w:t>
      </w:r>
      <w:r>
        <w:t xml:space="preserve"> </w:t>
      </w:r>
      <w:r>
        <w:t xml:space="preserve">Khu II, Đường 3/2, Ninh Kiều, Cần Thơ, Vietnam</w:t>
      </w:r>
    </w:p>
    <w:p>
      <w:pPr>
        <w:numPr>
          <w:ilvl w:val="0"/>
          <w:numId w:val="1002"/>
        </w:numPr>
        <w:pStyle w:val="Compact"/>
      </w:pPr>
      <w:r>
        <w:rPr>
          <w:bCs/>
          <w:b/>
        </w:rPr>
        <w:t xml:space="preserve">Email:</w:t>
      </w:r>
      <w:r>
        <w:t xml:space="preserve"> </w:t>
      </w:r>
      <w:r>
        <w:t xml:space="preserve">patu@ctu.edu.vn</w:t>
      </w:r>
    </w:p>
    <w:p>
      <w:pPr>
        <w:numPr>
          <w:ilvl w:val="0"/>
          <w:numId w:val="1002"/>
        </w:numPr>
        <w:pStyle w:val="Compact"/>
      </w:pPr>
      <w:r>
        <w:rPr>
          <w:bCs/>
          <w:b/>
        </w:rPr>
        <w:t xml:space="preserve">ORCID:</w:t>
      </w:r>
      <w:r>
        <w:t xml:space="preserve"> </w:t>
      </w:r>
      <w:r>
        <w:t xml:space="preserve">0000-0003-0667-3137 (https://orcid.org/0000-0003-0667-3137)</w:t>
      </w:r>
    </w:p>
    <w:p>
      <w:pPr>
        <w:numPr>
          <w:ilvl w:val="0"/>
          <w:numId w:val="1002"/>
        </w:numPr>
        <w:pStyle w:val="Compact"/>
      </w:pPr>
      <w:r>
        <w:rPr>
          <w:bCs/>
          <w:b/>
        </w:rPr>
        <w:t xml:space="preserve">Role:</w:t>
      </w:r>
      <w:r>
        <w:t xml:space="preserve"> </w:t>
      </w:r>
      <w:r>
        <w:t xml:space="preserve">Corresponding author</w:t>
      </w:r>
    </w:p>
    <w:p>
      <w:r>
        <w:pict>
          <v:rect style="width:0;height:1.5pt" o:hralign="center" o:hrstd="t" o:hr="t"/>
        </w:pict>
      </w:r>
    </w:p>
    <w:bookmarkEnd w:id="23"/>
    <w:bookmarkEnd w:id="24"/>
    <w:bookmarkStart w:id="25" w:name="credit-author-contributions"/>
    <w:p>
      <w:pPr>
        <w:pStyle w:val="Heading2"/>
      </w:pPr>
      <w:r>
        <w:t xml:space="preserve">CRediT Author Contributions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Contribution Role</w:t>
            </w:r>
          </w:p>
        </w:tc>
        <w:tc>
          <w:tcPr/>
          <w:p>
            <w:pPr>
              <w:pStyle w:val="Compact"/>
              <w:jc w:val="left"/>
            </w:pPr>
            <w:r>
              <w:t xml:space="preserve">Đỗ Thùy Hương</w:t>
            </w:r>
          </w:p>
        </w:tc>
        <w:tc>
          <w:tcPr/>
          <w:p>
            <w:pPr>
              <w:pStyle w:val="Compact"/>
              <w:jc w:val="left"/>
            </w:pPr>
            <w:r>
              <w:t xml:space="preserve">Phan Anh Tú</w:t>
            </w:r>
          </w:p>
        </w:tc>
      </w:tr>
      <w:tr>
        <w:tc>
          <w:tcPr/>
          <w:p>
            <w:pPr>
              <w:pStyle w:val="Compact"/>
              <w:jc w:val="left"/>
            </w:pPr>
            <w:r>
              <w:t xml:space="preserve">Conceptualization</w:t>
            </w:r>
          </w:p>
        </w:tc>
        <w:tc>
          <w:tcPr/>
          <w:p>
            <w:pPr>
              <w:pStyle w:val="Compact"/>
              <w:jc w:val="left"/>
            </w:pPr>
            <w:r>
              <w:t xml:space="preserve">Lead</w:t>
            </w:r>
          </w:p>
        </w:tc>
        <w:tc>
          <w:tcPr/>
          <w:p>
            <w:pPr>
              <w:pStyle w:val="Compact"/>
              <w:jc w:val="left"/>
            </w:pPr>
            <w:r>
              <w:t xml:space="preserve">Supporting</w:t>
            </w:r>
          </w:p>
        </w:tc>
      </w:tr>
      <w:tr>
        <w:tc>
          <w:tcPr/>
          <w:p>
            <w:pPr>
              <w:pStyle w:val="Compact"/>
              <w:jc w:val="left"/>
            </w:pPr>
            <w:r>
              <w:t xml:space="preserve">Data curation</w:t>
            </w:r>
          </w:p>
        </w:tc>
        <w:tc>
          <w:tcPr/>
          <w:p>
            <w:pPr>
              <w:pStyle w:val="Compact"/>
              <w:jc w:val="left"/>
            </w:pPr>
            <w:r>
              <w:t xml:space="preserve">Lead</w:t>
            </w:r>
          </w:p>
        </w:tc>
        <w:tc>
          <w:tcPr/>
          <w:p>
            <w:pPr>
              <w:pStyle w:val="Compact"/>
              <w:jc w:val="left"/>
            </w:pPr>
            <w:r>
              <w:t xml:space="preserve">—</w:t>
            </w:r>
          </w:p>
        </w:tc>
      </w:tr>
      <w:tr>
        <w:tc>
          <w:tcPr/>
          <w:p>
            <w:pPr>
              <w:pStyle w:val="Compact"/>
              <w:jc w:val="left"/>
            </w:pPr>
            <w:r>
              <w:t xml:space="preserve">Formal analysis</w:t>
            </w:r>
          </w:p>
        </w:tc>
        <w:tc>
          <w:tcPr/>
          <w:p>
            <w:pPr>
              <w:pStyle w:val="Compact"/>
              <w:jc w:val="left"/>
            </w:pPr>
            <w:r>
              <w:t xml:space="preserve">Lead</w:t>
            </w:r>
          </w:p>
        </w:tc>
        <w:tc>
          <w:tcPr/>
          <w:p>
            <w:pPr>
              <w:pStyle w:val="Compact"/>
              <w:jc w:val="left"/>
            </w:pPr>
            <w:r>
              <w:t xml:space="preserve">Supporting</w:t>
            </w:r>
          </w:p>
        </w:tc>
      </w:tr>
      <w:tr>
        <w:tc>
          <w:tcPr/>
          <w:p>
            <w:pPr>
              <w:pStyle w:val="Compact"/>
              <w:jc w:val="left"/>
            </w:pPr>
            <w:r>
              <w:t xml:space="preserve">Funding acquisition</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Investigation</w:t>
            </w:r>
          </w:p>
        </w:tc>
        <w:tc>
          <w:tcPr/>
          <w:p>
            <w:pPr>
              <w:pStyle w:val="Compact"/>
              <w:jc w:val="left"/>
            </w:pPr>
            <w:r>
              <w:t xml:space="preserve">Lead</w:t>
            </w:r>
          </w:p>
        </w:tc>
        <w:tc>
          <w:tcPr/>
          <w:p>
            <w:pPr>
              <w:pStyle w:val="Compact"/>
              <w:jc w:val="left"/>
            </w:pPr>
            <w:r>
              <w:t xml:space="preserve">Supporting</w:t>
            </w:r>
          </w:p>
        </w:tc>
      </w:tr>
      <w:tr>
        <w:tc>
          <w:tcPr/>
          <w:p>
            <w:pPr>
              <w:pStyle w:val="Compact"/>
              <w:jc w:val="left"/>
            </w:pPr>
            <w:r>
              <w:t xml:space="preserve">Methodology</w:t>
            </w:r>
          </w:p>
        </w:tc>
        <w:tc>
          <w:tcPr/>
          <w:p>
            <w:pPr>
              <w:pStyle w:val="Compact"/>
              <w:jc w:val="left"/>
            </w:pPr>
            <w:r>
              <w:t xml:space="preserve">Lead</w:t>
            </w:r>
          </w:p>
        </w:tc>
        <w:tc>
          <w:tcPr/>
          <w:p>
            <w:pPr>
              <w:pStyle w:val="Compact"/>
              <w:jc w:val="left"/>
            </w:pPr>
            <w:r>
              <w:t xml:space="preserve">Supporting</w:t>
            </w:r>
          </w:p>
        </w:tc>
      </w:tr>
      <w:tr>
        <w:tc>
          <w:tcPr/>
          <w:p>
            <w:pPr>
              <w:pStyle w:val="Compact"/>
              <w:jc w:val="left"/>
            </w:pPr>
            <w:r>
              <w:t xml:space="preserve">Project administration</w:t>
            </w:r>
          </w:p>
        </w:tc>
        <w:tc>
          <w:tcPr/>
          <w:p>
            <w:pPr>
              <w:pStyle w:val="Compact"/>
              <w:jc w:val="left"/>
            </w:pPr>
            <w:r>
              <w:t xml:space="preserve">Lead</w:t>
            </w:r>
          </w:p>
        </w:tc>
        <w:tc>
          <w:tcPr/>
          <w:p>
            <w:pPr>
              <w:pStyle w:val="Compact"/>
              <w:jc w:val="left"/>
            </w:pPr>
            <w:r>
              <w:t xml:space="preserve">—</w:t>
            </w:r>
          </w:p>
        </w:tc>
      </w:tr>
      <w:tr>
        <w:tc>
          <w:tcPr/>
          <w:p>
            <w:pPr>
              <w:pStyle w:val="Compact"/>
              <w:jc w:val="left"/>
            </w:pPr>
            <w:r>
              <w:t xml:space="preserve">Resources</w:t>
            </w:r>
          </w:p>
        </w:tc>
        <w:tc>
          <w:tcPr/>
          <w:p>
            <w:pPr>
              <w:pStyle w:val="Compact"/>
              <w:jc w:val="left"/>
            </w:pPr>
            <w:r>
              <w:t xml:space="preserve">—</w:t>
            </w:r>
          </w:p>
        </w:tc>
        <w:tc>
          <w:tcPr/>
          <w:p>
            <w:pPr>
              <w:pStyle w:val="Compact"/>
              <w:jc w:val="left"/>
            </w:pPr>
            <w:r>
              <w:t xml:space="preserve">Supporting</w:t>
            </w:r>
          </w:p>
        </w:tc>
      </w:tr>
      <w:tr>
        <w:tc>
          <w:tcPr/>
          <w:p>
            <w:pPr>
              <w:pStyle w:val="Compact"/>
              <w:jc w:val="left"/>
            </w:pPr>
            <w:r>
              <w:t xml:space="preserve">Software</w:t>
            </w:r>
          </w:p>
        </w:tc>
        <w:tc>
          <w:tcPr/>
          <w:p>
            <w:pPr>
              <w:pStyle w:val="Compact"/>
              <w:jc w:val="left"/>
            </w:pPr>
            <w:r>
              <w:t xml:space="preserve">Lead</w:t>
            </w:r>
          </w:p>
        </w:tc>
        <w:tc>
          <w:tcPr/>
          <w:p>
            <w:pPr>
              <w:pStyle w:val="Compact"/>
              <w:jc w:val="left"/>
            </w:pPr>
            <w:r>
              <w:t xml:space="preserve">—</w:t>
            </w:r>
          </w:p>
        </w:tc>
      </w:tr>
      <w:tr>
        <w:tc>
          <w:tcPr/>
          <w:p>
            <w:pPr>
              <w:pStyle w:val="Compact"/>
              <w:jc w:val="left"/>
            </w:pPr>
            <w:r>
              <w:t xml:space="preserve">Supervision</w:t>
            </w:r>
          </w:p>
        </w:tc>
        <w:tc>
          <w:tcPr/>
          <w:p>
            <w:pPr>
              <w:pStyle w:val="Compact"/>
              <w:jc w:val="left"/>
            </w:pPr>
            <w:r>
              <w:t xml:space="preserve">—</w:t>
            </w:r>
          </w:p>
        </w:tc>
        <w:tc>
          <w:tcPr/>
          <w:p>
            <w:pPr>
              <w:pStyle w:val="Compact"/>
              <w:jc w:val="left"/>
            </w:pPr>
            <w:r>
              <w:t xml:space="preserve">Lead</w:t>
            </w:r>
          </w:p>
        </w:tc>
      </w:tr>
      <w:tr>
        <w:tc>
          <w:tcPr/>
          <w:p>
            <w:pPr>
              <w:pStyle w:val="Compact"/>
              <w:jc w:val="left"/>
            </w:pPr>
            <w:r>
              <w:t xml:space="preserve">Validation</w:t>
            </w:r>
          </w:p>
        </w:tc>
        <w:tc>
          <w:tcPr/>
          <w:p>
            <w:pPr>
              <w:pStyle w:val="Compact"/>
              <w:jc w:val="left"/>
            </w:pPr>
            <w:r>
              <w:t xml:space="preserve">Supporting</w:t>
            </w:r>
          </w:p>
        </w:tc>
        <w:tc>
          <w:tcPr/>
          <w:p>
            <w:pPr>
              <w:pStyle w:val="Compact"/>
              <w:jc w:val="left"/>
            </w:pPr>
            <w:r>
              <w:t xml:space="preserve">Lead</w:t>
            </w:r>
          </w:p>
        </w:tc>
      </w:tr>
      <w:tr>
        <w:tc>
          <w:tcPr/>
          <w:p>
            <w:pPr>
              <w:pStyle w:val="Compact"/>
              <w:jc w:val="left"/>
            </w:pPr>
            <w:r>
              <w:t xml:space="preserve">Visualization</w:t>
            </w:r>
          </w:p>
        </w:tc>
        <w:tc>
          <w:tcPr/>
          <w:p>
            <w:pPr>
              <w:pStyle w:val="Compact"/>
              <w:jc w:val="left"/>
            </w:pPr>
            <w:r>
              <w:t xml:space="preserve">Lead</w:t>
            </w:r>
          </w:p>
        </w:tc>
        <w:tc>
          <w:tcPr/>
          <w:p>
            <w:pPr>
              <w:pStyle w:val="Compact"/>
              <w:jc w:val="left"/>
            </w:pPr>
            <w:r>
              <w:t xml:space="preserve">—</w:t>
            </w:r>
          </w:p>
        </w:tc>
      </w:tr>
      <w:tr>
        <w:tc>
          <w:tcPr/>
          <w:p>
            <w:pPr>
              <w:pStyle w:val="Compact"/>
              <w:jc w:val="left"/>
            </w:pPr>
            <w:r>
              <w:t xml:space="preserve">Writing – original draft</w:t>
            </w:r>
          </w:p>
        </w:tc>
        <w:tc>
          <w:tcPr/>
          <w:p>
            <w:pPr>
              <w:pStyle w:val="Compact"/>
              <w:jc w:val="left"/>
            </w:pPr>
            <w:r>
              <w:t xml:space="preserve">Lead</w:t>
            </w:r>
          </w:p>
        </w:tc>
        <w:tc>
          <w:tcPr/>
          <w:p>
            <w:pPr>
              <w:pStyle w:val="Compact"/>
              <w:jc w:val="left"/>
            </w:pPr>
            <w:r>
              <w:t xml:space="preserve">Supporting</w:t>
            </w:r>
          </w:p>
        </w:tc>
      </w:tr>
      <w:tr>
        <w:tc>
          <w:tcPr/>
          <w:p>
            <w:pPr>
              <w:pStyle w:val="Compact"/>
              <w:jc w:val="left"/>
            </w:pPr>
            <w:r>
              <w:t xml:space="preserve">Writing – review &amp; editing</w:t>
            </w:r>
          </w:p>
        </w:tc>
        <w:tc>
          <w:tcPr/>
          <w:p>
            <w:pPr>
              <w:pStyle w:val="Compact"/>
              <w:jc w:val="left"/>
            </w:pPr>
            <w:r>
              <w:t xml:space="preserve">Lead</w:t>
            </w:r>
          </w:p>
        </w:tc>
        <w:tc>
          <w:tcPr/>
          <w:p>
            <w:pPr>
              <w:pStyle w:val="Compact"/>
              <w:jc w:val="left"/>
            </w:pPr>
            <w:r>
              <w:t xml:space="preserve">Lead</w:t>
            </w:r>
          </w:p>
        </w:tc>
      </w:tr>
    </w:tbl>
    <w:p>
      <w:r>
        <w:pict>
          <v:rect style="width:0;height:1.5pt" o:hralign="center" o:hrstd="t" o:hr="t"/>
        </w:pict>
      </w:r>
    </w:p>
    <w:bookmarkEnd w:id="25"/>
    <w:bookmarkStart w:id="26" w:name="acknowledgements"/>
    <w:p>
      <w:pPr>
        <w:pStyle w:val="Heading2"/>
      </w:pPr>
      <w:r>
        <w:t xml:space="preserve">Acknowledgements</w:t>
      </w:r>
    </w:p>
    <w:p>
      <w:pPr>
        <w:pStyle w:val="FirstParagraph"/>
      </w:pPr>
      <w:r>
        <w:t xml:space="preserve">We thank the Enterprise Analysis Unit of the Development Economics Global Indicators Group of the World Bank for the data. The original collector of the data, the authorised distributor, and the relevant funding agency bear no responsibility for the use of the data or for interpretations based on such use. The findings, interpretations, and conclusions expressed in this article are those of the authors and do not necessarily represent the views of the World Bank Group, its Executive Directors, or the governments they represent. The authors received no specific grant from any funding agency in the public, commercial, or not-for-profit sectors.</w:t>
      </w:r>
    </w:p>
    <w:p>
      <w:pPr>
        <w:pStyle w:val="BodyText"/>
      </w:pPr>
      <w:r>
        <w:t xml:space="preserve">The replication package accompanying this manuscript was developed to support methodological transparency and computational reproducibility.</w:t>
      </w:r>
    </w:p>
    <w:p>
      <w:r>
        <w:pict>
          <v:rect style="width:0;height:1.5pt" o:hralign="center" o:hrstd="t" o:hr="t"/>
        </w:pict>
      </w:r>
    </w:p>
    <w:bookmarkEnd w:id="26"/>
    <w:bookmarkStart w:id="27" w:name="conflict-of-interest"/>
    <w:p>
      <w:pPr>
        <w:pStyle w:val="Heading2"/>
      </w:pPr>
      <w:r>
        <w:t xml:space="preserve">Conflict of Interest</w:t>
      </w:r>
    </w:p>
    <w:p>
      <w:pPr>
        <w:pStyle w:val="FirstParagraph"/>
      </w:pPr>
      <w:r>
        <w:t xml:space="preserve">The authors declare no conflict of interest.</w:t>
      </w:r>
    </w:p>
    <w:p>
      <w:r>
        <w:pict>
          <v:rect style="width:0;height:1.5pt" o:hralign="center" o:hrstd="t" o:hr="t"/>
        </w:pict>
      </w:r>
    </w:p>
    <w:bookmarkEnd w:id="27"/>
    <w:bookmarkStart w:id="28" w:name="funding"/>
    <w:p>
      <w:pPr>
        <w:pStyle w:val="Heading2"/>
      </w:pPr>
      <w:r>
        <w:t xml:space="preserve">Funding</w:t>
      </w:r>
    </w:p>
    <w:p>
      <w:pPr>
        <w:pStyle w:val="FirstParagraph"/>
      </w:pPr>
      <w:r>
        <w:t xml:space="preserve">This research received no specific grant from any funding agency in the public, commercial, or not-for-profit sectors.</w:t>
      </w:r>
    </w:p>
    <w:p>
      <w:r>
        <w:pict>
          <v:rect style="width:0;height:1.5pt" o:hralign="center" o:hrstd="t" o:hr="t"/>
        </w:pict>
      </w:r>
    </w:p>
    <w:bookmarkEnd w:id="28"/>
    <w:bookmarkStart w:id="29" w:name="data-availability-statement"/>
    <w:p>
      <w:pPr>
        <w:pStyle w:val="Heading2"/>
      </w:pPr>
      <w:r>
        <w:t xml:space="preserve">Data Availability Statement</w:t>
      </w:r>
    </w:p>
    <w:p>
      <w:pPr>
        <w:pStyle w:val="FirstParagraph"/>
      </w:pPr>
      <w:r>
        <w:t xml:space="preserve">The data that support the findings of this study are from the World Bank Enterprise Surveys and are available from the World Bank Enterprise Surveys portal (www.enterprisesurveys.org), subject to registration and compliance with the World Bank Enterprise Surveys Data Access Protocol. Because the protocol restricts redistribution of the original .dta files to third parties, the authors do not redistribute the raw survey files. Replication materials, including variable-construction details, model specifications, and computational outputs, are available from the corresponding author upon reasonable request and may be shared to the extent permitted by the data-access terms.</w:t>
      </w:r>
    </w:p>
    <w:p>
      <w:r>
        <w:pict>
          <v:rect style="width:0;height:1.5pt" o:hralign="center" o:hrstd="t" o:hr="t"/>
        </w:pict>
      </w:r>
    </w:p>
    <w:bookmarkEnd w:id="29"/>
    <w:bookmarkStart w:id="30" w:name="X799c23334c5944d058eaf15944a1408ff96b683"/>
    <w:p>
      <w:pPr>
        <w:pStyle w:val="Heading2"/>
      </w:pPr>
      <w:r>
        <w:t xml:space="preserve">Use of Generative AI in the Writing Process</w:t>
      </w:r>
    </w:p>
    <w:p>
      <w:pPr>
        <w:pStyle w:val="FirstParagraph"/>
      </w:pPr>
      <w:r>
        <w:t xml:space="preserve">Generative AI tools were used during manuscript preparation to assist with language editing, structure suggestions, and the assembly of the replication package documentation. All conceptual framing, hypothesis development, empirical analysis, results interpretation, and final wording were authored by the human authors, who take full responsibility for the content of the publication.</w:t>
      </w:r>
    </w:p>
    <w:p>
      <w:r>
        <w:pict>
          <v:rect style="width:0;height:1.5pt" o:hralign="center" o:hrstd="t" o:hr="t"/>
        </w:pict>
      </w:r>
    </w:p>
    <w:bookmarkEnd w:id="30"/>
    <w:bookmarkStart w:id="31" w:name="manuscript-information"/>
    <w:p>
      <w:pPr>
        <w:pStyle w:val="Heading2"/>
      </w:pPr>
      <w:r>
        <w:t xml:space="preserve">Manuscript Information</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Item</w:t>
            </w:r>
          </w:p>
        </w:tc>
        <w:tc>
          <w:tcPr/>
          <w:p>
            <w:pPr>
              <w:pStyle w:val="Compact"/>
              <w:jc w:val="left"/>
            </w:pPr>
            <w:r>
              <w:t xml:space="preserve">Detail</w:t>
            </w:r>
          </w:p>
        </w:tc>
      </w:tr>
      <w:tr>
        <w:tc>
          <w:tcPr/>
          <w:p>
            <w:pPr>
              <w:pStyle w:val="Compact"/>
              <w:jc w:val="left"/>
            </w:pPr>
            <w:r>
              <w:t xml:space="preserve">Paper type</w:t>
            </w:r>
          </w:p>
        </w:tc>
        <w:tc>
          <w:tcPr/>
          <w:p>
            <w:pPr>
              <w:pStyle w:val="Compact"/>
              <w:jc w:val="left"/>
            </w:pPr>
            <w:r>
              <w:t xml:space="preserve">Research article</w:t>
            </w:r>
          </w:p>
        </w:tc>
      </w:tr>
      <w:tr>
        <w:tc>
          <w:tcPr/>
          <w:p>
            <w:pPr>
              <w:pStyle w:val="Compact"/>
              <w:jc w:val="left"/>
            </w:pPr>
            <w:r>
              <w:t xml:space="preserve">Word count (main text)</w:t>
            </w:r>
          </w:p>
        </w:tc>
        <w:tc>
          <w:tcPr/>
          <w:p>
            <w:pPr>
              <w:pStyle w:val="Compact"/>
              <w:jc w:val="left"/>
            </w:pPr>
            <w:r>
              <w:t xml:space="preserve">Approximately 6,800 words</w:t>
            </w:r>
          </w:p>
        </w:tc>
      </w:tr>
      <w:tr>
        <w:tc>
          <w:tcPr/>
          <w:p>
            <w:pPr>
              <w:pStyle w:val="Compact"/>
              <w:jc w:val="left"/>
            </w:pPr>
            <w:r>
              <w:t xml:space="preserve">Abstract word count</w:t>
            </w:r>
          </w:p>
        </w:tc>
        <w:tc>
          <w:tcPr/>
          <w:p>
            <w:pPr>
              <w:pStyle w:val="Compact"/>
              <w:jc w:val="left"/>
            </w:pPr>
            <w:r>
              <w:t xml:space="preserve">247 words</w:t>
            </w:r>
          </w:p>
        </w:tc>
      </w:tr>
      <w:tr>
        <w:tc>
          <w:tcPr/>
          <w:p>
            <w:pPr>
              <w:pStyle w:val="Compact"/>
              <w:jc w:val="left"/>
            </w:pPr>
            <w:r>
              <w:t xml:space="preserve">Tables</w:t>
            </w:r>
          </w:p>
        </w:tc>
        <w:tc>
          <w:tcPr/>
          <w:p>
            <w:pPr>
              <w:pStyle w:val="Compact"/>
              <w:jc w:val="left"/>
            </w:pPr>
            <w:r>
              <w:t xml:space="preserve">5 (inline)</w:t>
            </w:r>
          </w:p>
        </w:tc>
      </w:tr>
      <w:tr>
        <w:tc>
          <w:tcPr/>
          <w:p>
            <w:pPr>
              <w:pStyle w:val="Compact"/>
              <w:jc w:val="left"/>
            </w:pPr>
            <w:r>
              <w:t xml:space="preserve">Figures</w:t>
            </w:r>
          </w:p>
        </w:tc>
        <w:tc>
          <w:tcPr/>
          <w:p>
            <w:pPr>
              <w:pStyle w:val="Compact"/>
              <w:jc w:val="left"/>
            </w:pPr>
            <w:r>
              <w:t xml:space="preserve">6 (inline)</w:t>
            </w:r>
          </w:p>
        </w:tc>
      </w:tr>
      <w:tr>
        <w:tc>
          <w:tcPr/>
          <w:p>
            <w:pPr>
              <w:pStyle w:val="Compact"/>
              <w:jc w:val="left"/>
            </w:pPr>
            <w:r>
              <w:t xml:space="preserve">References</w:t>
            </w:r>
          </w:p>
        </w:tc>
        <w:tc>
          <w:tcPr/>
          <w:p>
            <w:pPr>
              <w:pStyle w:val="Compact"/>
              <w:jc w:val="left"/>
            </w:pPr>
            <w:r>
              <w:t xml:space="preserve">48</w:t>
            </w:r>
          </w:p>
        </w:tc>
      </w:tr>
      <w:tr>
        <w:tc>
          <w:tcPr/>
          <w:p>
            <w:pPr>
              <w:pStyle w:val="Compact"/>
              <w:jc w:val="left"/>
            </w:pPr>
            <w:r>
              <w:t xml:space="preserve">Keywords</w:t>
            </w:r>
          </w:p>
        </w:tc>
        <w:tc>
          <w:tcPr/>
          <w:p>
            <w:pPr>
              <w:pStyle w:val="Compact"/>
              <w:jc w:val="left"/>
            </w:pPr>
            <w:r>
              <w:t xml:space="preserve">internationalisation–performance; emerging markets; digital adoption; technological capability; Vietnam; firm productivity</w:t>
            </w:r>
          </w:p>
        </w:tc>
      </w:tr>
      <w:tr>
        <w:tc>
          <w:tcPr/>
          <w:p>
            <w:pPr>
              <w:pStyle w:val="Compact"/>
              <w:jc w:val="left"/>
            </w:pPr>
            <w:r>
              <w:t xml:space="preserve">JEL codes</w:t>
            </w:r>
          </w:p>
        </w:tc>
        <w:tc>
          <w:tcPr/>
          <w:p>
            <w:pPr>
              <w:pStyle w:val="Compact"/>
              <w:jc w:val="left"/>
            </w:pPr>
            <w:r>
              <w:t xml:space="preserve">F23, O33, D22, L25, O53</w:t>
            </w:r>
          </w:p>
        </w:tc>
      </w:tr>
      <w:tr>
        <w:tc>
          <w:tcPr/>
          <w:p>
            <w:pPr>
              <w:pStyle w:val="Compact"/>
              <w:jc w:val="left"/>
            </w:pPr>
            <w:r>
              <w:t xml:space="preserve">Data source</w:t>
            </w:r>
          </w:p>
        </w:tc>
        <w:tc>
          <w:tcPr/>
          <w:p>
            <w:pPr>
              <w:pStyle w:val="Compact"/>
              <w:jc w:val="left"/>
            </w:pPr>
            <w:r>
              <w:t xml:space="preserve">World Bank Enterprise Surveys (Vietnam 2009, 2015, 2023)</w:t>
            </w:r>
          </w:p>
        </w:tc>
      </w:tr>
      <w:tr>
        <w:tc>
          <w:tcPr/>
          <w:p>
            <w:pPr>
              <w:pStyle w:val="Compact"/>
              <w:jc w:val="left"/>
            </w:pPr>
            <w:r>
              <w:t xml:space="preserve">Software</w:t>
            </w:r>
          </w:p>
        </w:tc>
        <w:tc>
          <w:tcPr/>
          <w:p>
            <w:pPr>
              <w:pStyle w:val="Compact"/>
              <w:jc w:val="left"/>
            </w:pPr>
            <w:r>
              <w:t xml:space="preserve">Stata 17 (estimation); Python 3.12 (replication checks)</w:t>
            </w:r>
          </w:p>
        </w:tc>
      </w:tr>
    </w:tbl>
    <w:bookmarkEnd w:id="31"/>
    <w:bookmarkEnd w:id="32"/>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2026-05-27T05:57:31Z</dcterms:created>
  <dcterms:modified xsi:type="dcterms:W3CDTF">2026-05-27T05:57:31Z</dcterms:modified>
</cp:coreProperties>
</file>

<file path=docProps/custom.xml><?xml version="1.0" encoding="utf-8"?>
<Properties xmlns="http://schemas.openxmlformats.org/officeDocument/2006/custom-properties" xmlns:vt="http://schemas.openxmlformats.org/officeDocument/2006/docPropsVTypes"/>
</file>