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27 May 2026</w:t>
      </w:r>
    </w:p>
    <w:p>
      <w:pPr>
        <w:pStyle w:val="BodyText"/>
      </w:pPr>
      <w:r>
        <w:t xml:space="preserve">The Editor-in-Chief</w:t>
      </w:r>
      <w:r>
        <w:t xml:space="preserve"> </w:t>
      </w:r>
      <w:r>
        <w:rPr>
          <w:iCs/>
          <w:i/>
        </w:rPr>
        <w:t xml:space="preserve">Asia Pacific Journal of Management</w:t>
      </w:r>
      <w:r>
        <w:t xml:space="preserve"> </w:t>
      </w:r>
      <w:r>
        <w:t xml:space="preserve">Springer</w:t>
      </w:r>
    </w:p>
    <w:p>
      <w:r>
        <w:pict>
          <v:rect style="width:0;height:1.5pt" o:hralign="center" o:hrstd="t" o:hr="t"/>
        </w:pict>
      </w:r>
    </w:p>
    <w:p>
      <w:pPr>
        <w:pStyle w:val="FirstParagraph"/>
      </w:pPr>
      <w:r>
        <w:rPr>
          <w:bCs/>
          <w:b/>
        </w:rPr>
        <w:t xml:space="preserve">Submission of Manuscript:</w:t>
      </w:r>
      <w:r>
        <w:rPr>
          <w:bCs/>
          <w:b/>
        </w:rPr>
        <w:t xml:space="preserve"> </w:t>
      </w:r>
      <w:r>
        <w:rPr>
          <w:bCs/>
          <w:b/>
        </w:rPr>
        <w:t xml:space="preserve">“</w:t>
      </w:r>
      <w:r>
        <w:rPr>
          <w:bCs/>
          <w:b/>
        </w:rPr>
        <w:t xml:space="preserve">Revisiting the Internationalisation–Performance Relationship in an Emerging Market: The Roles of Technological Capability and Foundational Digital Adoption</w:t>
      </w:r>
      <w:r>
        <w:rPr>
          <w:bCs/>
          <w:b/>
        </w:rPr>
        <w:t xml:space="preserve">”</w:t>
      </w:r>
    </w:p>
    <w:p>
      <w:pPr>
        <w:pStyle w:val="BodyText"/>
      </w:pPr>
      <w:r>
        <w:t xml:space="preserve">Dear Editor-in-Chief,</w:t>
      </w:r>
    </w:p>
    <w:p>
      <w:pPr>
        <w:pStyle w:val="BodyText"/>
      </w:pPr>
      <w:r>
        <w:t xml:space="preserve">We are pleased to submit the above manuscript for consideration for publication in the</w:t>
      </w:r>
      <w:r>
        <w:t xml:space="preserve"> </w:t>
      </w:r>
      <w:r>
        <w:rPr>
          <w:iCs/>
          <w:i/>
        </w:rPr>
        <w:t xml:space="preserve">Asia Pacific Journal of Management</w:t>
      </w:r>
      <w:r>
        <w:t xml:space="preserve"> </w:t>
      </w:r>
      <w:r>
        <w:t xml:space="preserve">(APJM). The manuscript presents an empirical study of the internationalisation–performance (I–P) relationship using three waves of World Bank Enterprise Survey data for Vietnam (2009, 2015, 2023; N = 2,958).</w:t>
      </w:r>
    </w:p>
    <w:p>
      <w:pPr>
        <w:pStyle w:val="BodyText"/>
      </w:pPr>
      <w:r>
        <w:rPr>
          <w:bCs/>
          <w:b/>
        </w:rPr>
        <w:t xml:space="preserve">Fit with APJM</w:t>
      </w:r>
    </w:p>
    <w:p>
      <w:pPr>
        <w:pStyle w:val="BodyText"/>
      </w:pPr>
      <w:r>
        <w:t xml:space="preserve">APJM is the natural venue for this work. The journal’s mandate of advancing management and organisation theory in and about the Asia-Pacific fits a study whose central contribution is theoretical: we show that the performance value of foundational digital adoption is institutionally contingent, behaving as a saturated hygiene factor rather than a differentiating capability in a transitional Asia-Pacific economy, and that it requires a depth threshold before it can reshape the export–performance relationship. Vietnam serves not as a parochial case but as a theoretically informative setting in which to test boundary conditions on the digital-internationalisation and institutional-voids literatures that APJM has helped shape. The three-wave design (spanning WTO accession in 2007, CPTPP ratification in 2019, and the post-COVID digital-economy push in 2023) lets us trace how an institutional trajectory reshapes a capability–performance link over fourteen years, the kind of context-rich, theory-extending evidence APJM prizes. The paper engages directly with the cross-national I–P debate (e.g., Wu, Fan, &amp; Chen, 2022,</w:t>
      </w:r>
      <w:r>
        <w:t xml:space="preserve"> </w:t>
      </w:r>
      <w:r>
        <w:rPr>
          <w:iCs/>
          <w:i/>
        </w:rPr>
        <w:t xml:space="preserve">Management International Review</w:t>
      </w:r>
      <w:r>
        <w:t xml:space="preserve">), demonstrating that single-country institutional context preserves functional-form regularity that pooled cross-national estimates obscure, and thereby contributes a generalisable contingency argument rather than a country report.</w:t>
      </w:r>
    </w:p>
    <w:p>
      <w:pPr>
        <w:pStyle w:val="BodyText"/>
      </w:pPr>
      <w:r>
        <w:rPr>
          <w:bCs/>
          <w:b/>
        </w:rPr>
        <w:t xml:space="preserve">Key Contributions</w:t>
      </w:r>
    </w:p>
    <w:p>
      <w:pPr>
        <w:pStyle w:val="BodyText"/>
      </w:pPr>
      <w:r>
        <w:t xml:space="preserve">First, the study provides multi-wave within-country evidence that the inverted-U between export intensity and labour productivity is structurally durable: turning points cluster at 39–46% across all three waves (Lind–Mehlum test p ≤ .013 per wave; p &lt; .001 pooled), a 7-percentage-point band sustained through 14 years of major institutional change. This durability — confirmed against Pisani, Garcia-Bernardo, and Heemskerk’s (2020,</w:t>
      </w:r>
      <w:r>
        <w:t xml:space="preserve"> </w:t>
      </w:r>
      <w:r>
        <w:rPr>
          <w:iCs/>
          <w:i/>
        </w:rPr>
        <w:t xml:space="preserve">Strategic Management Journal</w:t>
      </w:r>
      <w:r>
        <w:t xml:space="preserve">) cross-national skepticism — is most informative as a boundary-condition finding rather than a replication, because it establishes that single-country institutional contexts preserve functional-form regularity that cross-national pooling obscures.</w:t>
      </w:r>
    </w:p>
    <w:p>
      <w:pPr>
        <w:pStyle w:val="BodyText"/>
      </w:pPr>
      <w:r>
        <w:t xml:space="preserve">Second, the study is the first systematic separation of technological capability (TCI: quality certification, foreign-licensed technology) from foundational digital adoption (DAI: website presence, Tier-1 only) as non-overlapping primary constructs in a WBES-based I–P study. Technological capability is robustly positive across all waves (β = 0.123–0.215); the website-based digital indicator undergoes a trajectory consistent with Tier-1 proxy obsolescence (positive in 2009, null in 2015, negatively interactive with export intensity in 2023). Instrumental-variable estimation attributes the pooled DAI association to selection rather than productive capacity.</w:t>
      </w:r>
    </w:p>
    <w:p>
      <w:pPr>
        <w:pStyle w:val="BodyText"/>
      </w:pPr>
      <w:r>
        <w:t xml:space="preserve">Third, Paternoster cross-wave z-tests confirm that the 2009–2015 fall in the digital-adoption productivity association (z = 3.353, p &lt; .001) and its 2015–2023 partial recovery (z = −2.051, p = .040) are statistically distinguishable shifts — an empirical pattern that carries direct policy implications for digital-economy programme design in transitional economies.</w:t>
      </w:r>
    </w:p>
    <w:p>
      <w:pPr>
        <w:pStyle w:val="BodyText"/>
      </w:pPr>
      <w:r>
        <w:rPr>
          <w:bCs/>
          <w:b/>
        </w:rPr>
        <w:t xml:space="preserve">Originality and Declaration</w:t>
      </w:r>
    </w:p>
    <w:p>
      <w:pPr>
        <w:pStyle w:val="BodyText"/>
      </w:pPr>
      <w:r>
        <w:t xml:space="preserve">This manuscript is original, has not been published previously, and is not under consideration elsewhere. All authors approve the submission. The authors declare no conflict of interest. No specific grant from any funding agency was received. The use of WBES data is subject to the World Bank’s standard data agreement; the raw microdata will be made available to the editorial team upon request, consistent with World Bank open-data policy.</w:t>
      </w:r>
    </w:p>
    <w:p>
      <w:pPr>
        <w:pStyle w:val="BodyText"/>
      </w:pPr>
      <w:r>
        <w:rPr>
          <w:bCs/>
          <w:b/>
        </w:rPr>
        <w:t xml:space="preserve">Manuscript Classification</w:t>
      </w:r>
    </w:p>
    <w:p>
      <w:pPr>
        <w:numPr>
          <w:ilvl w:val="0"/>
          <w:numId w:val="1001"/>
        </w:numPr>
        <w:pStyle w:val="Compact"/>
      </w:pPr>
      <w:r>
        <w:t xml:space="preserve">Paper type: Research article</w:t>
      </w:r>
    </w:p>
    <w:p>
      <w:pPr>
        <w:numPr>
          <w:ilvl w:val="0"/>
          <w:numId w:val="1001"/>
        </w:numPr>
        <w:pStyle w:val="Compact"/>
      </w:pPr>
      <w:r>
        <w:t xml:space="preserve">Word count (main text, excluding abstract, references, tables, and figures): approximately 6,800 words</w:t>
      </w:r>
    </w:p>
    <w:p>
      <w:pPr>
        <w:numPr>
          <w:ilvl w:val="0"/>
          <w:numId w:val="1001"/>
        </w:numPr>
        <w:pStyle w:val="Compact"/>
      </w:pPr>
      <w:r>
        <w:t xml:space="preserve">Tables: 4; Figures: 6</w:t>
      </w:r>
    </w:p>
    <w:p>
      <w:pPr>
        <w:numPr>
          <w:ilvl w:val="0"/>
          <w:numId w:val="1001"/>
        </w:numPr>
        <w:pStyle w:val="Compact"/>
      </w:pPr>
      <w:r>
        <w:t xml:space="preserve">Keywords: internationalisation–performance; emerging markets; digital adoption; technological capability; Vietnam; threshold durability</w:t>
      </w:r>
    </w:p>
    <w:p>
      <w:pPr>
        <w:numPr>
          <w:ilvl w:val="0"/>
          <w:numId w:val="1001"/>
        </w:numPr>
        <w:pStyle w:val="Compact"/>
      </w:pPr>
      <w:r>
        <w:t xml:space="preserve">JEL classification: F23, O33, D22, L25, O53</w:t>
      </w:r>
    </w:p>
    <w:p>
      <w:pPr>
        <w:pStyle w:val="FirstParagraph"/>
      </w:pPr>
      <w:r>
        <w:t xml:space="preserve">We hope the manuscript will be of interest to APJM’s readership. We look forward to the review process.</w:t>
      </w:r>
    </w:p>
    <w:p>
      <w:pPr>
        <w:pStyle w:val="BodyText"/>
      </w:pPr>
      <w:r>
        <w:t xml:space="preserve">Yours sincerely,</w:t>
      </w:r>
    </w:p>
    <w:p>
      <w:pPr>
        <w:pStyle w:val="BodyText"/>
      </w:pPr>
      <w:r>
        <w:rPr>
          <w:bCs/>
          <w:b/>
        </w:rPr>
        <w:t xml:space="preserve">Đỗ Thùy Hương (Do Thuy Huong)</w:t>
      </w:r>
      <w:r>
        <w:t xml:space="preserve"> </w:t>
      </w:r>
      <w:r>
        <w:t xml:space="preserve">PhD Candidate</w:t>
      </w:r>
      <w:r>
        <w:t xml:space="preserve"> </w:t>
      </w:r>
      <w:r>
        <w:t xml:space="preserve">School of Economics, Can Tho University (CTU), Vietnam</w:t>
      </w:r>
      <w:r>
        <w:t xml:space="preserve"> </w:t>
      </w:r>
      <w:r>
        <w:t xml:space="preserve">Email: huongp1323001@gstudent.ctu.edu.vn | ORCID: 0000-0002-7711-2487</w:t>
      </w:r>
    </w:p>
    <w:p>
      <w:pPr>
        <w:pStyle w:val="BodyText"/>
      </w:pPr>
      <w:r>
        <w:rPr>
          <w:bCs/>
          <w:b/>
        </w:rPr>
        <w:t xml:space="preserve">PGS.TS. Phan Anh Tú (Phan Anh Tu)</w:t>
      </w:r>
      <w:r>
        <w:t xml:space="preserve"> </w:t>
      </w:r>
      <w:r>
        <w:t xml:space="preserve">Associate Professor, School of Economics</w:t>
      </w:r>
      <w:r>
        <w:t xml:space="preserve"> </w:t>
      </w:r>
      <w:r>
        <w:t xml:space="preserve">Can Tho University (CTU), Vietnam</w:t>
      </w:r>
      <w:r>
        <w:t xml:space="preserve"> </w:t>
      </w:r>
      <w:r>
        <w:rPr>
          <w:iCs/>
          <w:i/>
        </w:rPr>
        <w:t xml:space="preserve">Corresponding author</w:t>
      </w:r>
      <w:r>
        <w:t xml:space="preserve"> </w:t>
      </w:r>
      <w:r>
        <w:t xml:space="preserve">Email: patu@ctu.edu.vn | ORCID: 0000-0003-0667-3137</w:t>
      </w:r>
    </w:p>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2026-05-27T05:57:31Z</dcterms:created>
  <dcterms:modified xsi:type="dcterms:W3CDTF">2026-05-27T05:57:31Z</dcterms:modified>
</cp:coreProperties>
</file>

<file path=docProps/custom.xml><?xml version="1.0" encoding="utf-8"?>
<Properties xmlns="http://schemas.openxmlformats.org/officeDocument/2006/custom-properties" xmlns:vt="http://schemas.openxmlformats.org/officeDocument/2006/docPropsVTypes"/>
</file>