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lnSpc>
          <w:lnSpcVal w:type="auto" w:val="360"/>
        </w:lnSpc>
      </w:pPr>
      <w:r>
        <w:rPr>
          <w:rFonts w:ascii="Times New Roman" w:hAnsi="Times New Roman"/>
          <w:b/>
          <w:sz w:val="28"/>
        </w:rPr>
        <w:t>BỘ GIÁO DỤC VÀ ĐÀO TẠO</w:t>
        <w:br/>
        <w:t>TRƯỜNG ĐẠI HỌC CẦN THƠ</w:t>
      </w:r>
    </w:p>
    <w:p/>
    <w:p>
      <w:pPr>
        <w:jc w:val="center"/>
        <w:lnSpc>
          <w:lnSpcVal w:type="auto" w:val="360"/>
        </w:lnSpc>
      </w:pPr>
      <w:r>
        <w:rPr>
          <w:rFonts w:ascii="Times New Roman" w:hAnsi="Times New Roman"/>
          <w:b/>
          <w:sz w:val="28"/>
        </w:rPr>
        <w:t>[HỌ VÀ TÊN NCS]</w:t>
      </w:r>
    </w:p>
    <w:p/>
    <w:p/>
    <w:p>
      <w:pPr>
        <w:jc w:val="center"/>
        <w:lnSpc>
          <w:lnSpcVal w:type="auto" w:val="360"/>
        </w:lnSpc>
      </w:pPr>
      <w:r>
        <w:rPr>
          <w:rFonts w:ascii="Times New Roman" w:hAnsi="Times New Roman"/>
          <w:b/>
          <w:sz w:val="32"/>
        </w:rPr>
        <w:t>NĂNG LỰC CÔNG NGHỆ, CHẤP NHẬN KỸ THUẬT SỐ</w:t>
        <w:br/>
        <w:t>VÀ MỐI QUAN HỆ QUỐC TẾ HÓA–HIỆU SUẤT</w:t>
        <w:br/>
        <w:t>DOANH NGHIỆP: BẰNG CHỨNG TỪ</w:t>
        <w:br/>
        <w:t>VIỆT NAM, SINGAPORE VÀ TRUNG QUỐC</w:t>
      </w:r>
    </w:p>
    <w:p/>
    <w:p/>
    <w:p>
      <w:pPr>
        <w:jc w:val="center"/>
        <w:lnSpc>
          <w:lnSpcVal w:type="auto" w:val="360"/>
        </w:lnSpc>
      </w:pPr>
      <w:r>
        <w:rPr>
          <w:rFonts w:ascii="Times New Roman" w:hAnsi="Times New Roman"/>
          <w:b/>
          <w:sz w:val="28"/>
        </w:rPr>
        <w:t>BÁO CÁO CHUYÊN ĐỀ</w:t>
      </w:r>
    </w:p>
    <w:p/>
    <w:p>
      <w:pPr>
        <w:jc w:val="center"/>
        <w:lnSpc>
          <w:lnSpcVal w:type="auto" w:val="360"/>
        </w:lnSpc>
      </w:pPr>
      <w:r>
        <w:rPr>
          <w:rFonts w:ascii="Times New Roman" w:hAnsi="Times New Roman"/>
          <w:sz w:val="26"/>
        </w:rPr>
        <w:t>NGÀNH: [NGÀNH ĐÀO TẠO]</w:t>
        <w:br/>
        <w:t>MÃ SỐ: [MÃ SỐ]</w:t>
      </w:r>
    </w:p>
    <w:p/>
    <w:p/>
    <w:p/>
    <w:p>
      <w:pPr>
        <w:jc w:val="center"/>
        <w:lnSpc>
          <w:lnSpcVal w:type="auto" w:val="360"/>
        </w:lnSpc>
      </w:pPr>
      <w:r>
        <w:rPr>
          <w:rFonts w:ascii="Times New Roman" w:hAnsi="Times New Roman"/>
          <w:b/>
          <w:sz w:val="28"/>
        </w:rPr>
        <w:t>Cần Thơ, 2026</w:t>
      </w:r>
    </w:p>
    <w:p>
      <w:r>
        <w:br w:type="page"/>
      </w:r>
    </w:p>
    <w:p>
      <w:pPr>
        <w:pStyle w:val="Heading1"/>
        <w:lnSpc>
          <w:lnSpcVal w:type="auto" w:val="288"/>
        </w:lnSpc>
        <w:jc w:val="center"/>
      </w:pPr>
      <w:r>
        <w:rPr>
          <w:rFonts w:ascii="Times New Roman" w:hAnsi="Times New Roman"/>
        </w:rPr>
        <w:t>MỤC LỤC</w:t>
      </w:r>
    </w:p>
    <w:p>
      <w:pPr>
        <w:lnSpc>
          <w:lnSpcVal w:type="auto" w:val="288"/>
        </w:lnSpc>
      </w:pPr>
      <w:r>
        <w:rPr>
          <w:rFonts w:ascii="Times New Roman" w:hAnsi="Times New Roman"/>
          <w:b/>
          <w:i w:val="0"/>
          <w:sz w:val="24"/>
        </w:rPr>
        <w:t>DANH MỤC BẢNG</w:t>
      </w:r>
    </w:p>
    <w:p>
      <w:pPr>
        <w:lnSpc>
          <w:lnSpcVal w:type="auto" w:val="288"/>
        </w:lnSpc>
      </w:pPr>
      <w:r>
        <w:rPr>
          <w:rFonts w:ascii="Times New Roman" w:hAnsi="Times New Roman"/>
          <w:b/>
          <w:i w:val="0"/>
          <w:sz w:val="24"/>
        </w:rPr>
        <w:t>DANH MỤC HÌNH</w:t>
      </w:r>
    </w:p>
    <w:p>
      <w:pPr>
        <w:lnSpc>
          <w:lnSpcVal w:type="auto" w:val="288"/>
        </w:lnSpc>
      </w:pPr>
      <w:r>
        <w:rPr>
          <w:rFonts w:ascii="Times New Roman" w:hAnsi="Times New Roman"/>
          <w:b/>
          <w:i w:val="0"/>
          <w:sz w:val="24"/>
        </w:rPr>
        <w:t>DANH MỤC TỪ VIẾT TẮT</w:t>
      </w:r>
    </w:p>
    <w:p>
      <w:pPr>
        <w:lnSpc>
          <w:lnSpcVal w:type="auto" w:val="288"/>
        </w:lnSpc>
      </w:pPr>
      <w:r>
        <w:rPr>
          <w:rFonts w:ascii="Times New Roman" w:hAnsi="Times New Roman"/>
          <w:b/>
          <w:i w:val="0"/>
          <w:sz w:val="24"/>
        </w:rPr>
        <w:t>TÓM TẮT</w:t>
      </w:r>
    </w:p>
    <w:p>
      <w:pPr>
        <w:lnSpc>
          <w:lnSpcVal w:type="auto" w:val="288"/>
        </w:lnSpc>
      </w:pPr>
      <w:r>
        <w:rPr>
          <w:rFonts w:ascii="Times New Roman" w:hAnsi="Times New Roman"/>
          <w:b/>
          <w:i w:val="0"/>
          <w:sz w:val="24"/>
        </w:rPr>
        <w:t>ABSTRACT</w:t>
      </w:r>
    </w:p>
    <w:p>
      <w:pPr>
        <w:lnSpc>
          <w:lnSpcVal w:type="auto" w:val="288"/>
        </w:lnSpc>
      </w:pPr>
      <w:r>
        <w:rPr>
          <w:rFonts w:ascii="Times New Roman" w:hAnsi="Times New Roman"/>
          <w:b/>
          <w:i w:val="0"/>
          <w:sz w:val="24"/>
        </w:rPr>
        <w:t>PHẦN 1: ĐẶT VẤN ĐỀ</w:t>
      </w:r>
    </w:p>
    <w:p>
      <w:pPr>
        <w:lnSpc>
          <w:lnSpcVal w:type="auto" w:val="288"/>
        </w:lnSpc>
      </w:pPr>
      <w:r>
        <w:rPr>
          <w:rFonts w:ascii="Times New Roman" w:hAnsi="Times New Roman"/>
          <w:b w:val="0"/>
          <w:i w:val="0"/>
          <w:sz w:val="24"/>
        </w:rPr>
        <w:t xml:space="preserve">    1.1 Giới thiệu</w:t>
      </w:r>
    </w:p>
    <w:p>
      <w:pPr>
        <w:lnSpc>
          <w:lnSpcVal w:type="auto" w:val="288"/>
        </w:lnSpc>
      </w:pPr>
      <w:r>
        <w:rPr>
          <w:rFonts w:ascii="Times New Roman" w:hAnsi="Times New Roman"/>
          <w:b w:val="0"/>
          <w:i w:val="0"/>
          <w:sz w:val="24"/>
        </w:rPr>
        <w:t xml:space="preserve">    1.2 Mục tiêu nghiên cứu</w:t>
      </w:r>
    </w:p>
    <w:p>
      <w:pPr>
        <w:lnSpc>
          <w:lnSpcVal w:type="auto" w:val="288"/>
        </w:lnSpc>
      </w:pPr>
      <w:r>
        <w:rPr>
          <w:rFonts w:ascii="Times New Roman" w:hAnsi="Times New Roman"/>
          <w:b w:val="0"/>
          <w:i w:val="0"/>
          <w:sz w:val="24"/>
        </w:rPr>
        <w:t xml:space="preserve">    1.3 Nội dung chuyên đề</w:t>
      </w:r>
    </w:p>
    <w:p>
      <w:pPr>
        <w:lnSpc>
          <w:lnSpcVal w:type="auto" w:val="288"/>
        </w:lnSpc>
      </w:pPr>
      <w:r>
        <w:rPr>
          <w:rFonts w:ascii="Times New Roman" w:hAnsi="Times New Roman"/>
          <w:b w:val="0"/>
          <w:i w:val="0"/>
          <w:sz w:val="24"/>
        </w:rPr>
        <w:t xml:space="preserve">    1.4 Giới hạn nghiên cứu</w:t>
      </w:r>
    </w:p>
    <w:p>
      <w:pPr>
        <w:lnSpc>
          <w:lnSpcVal w:type="auto" w:val="288"/>
        </w:lnSpc>
      </w:pPr>
      <w:r>
        <w:rPr>
          <w:rFonts w:ascii="Times New Roman" w:hAnsi="Times New Roman"/>
          <w:b w:val="0"/>
          <w:i w:val="0"/>
          <w:sz w:val="24"/>
        </w:rPr>
        <w:t xml:space="preserve">    1.5 Ý nghĩa khoa học</w:t>
      </w:r>
    </w:p>
    <w:p>
      <w:pPr>
        <w:lnSpc>
          <w:lnSpcVal w:type="auto" w:val="288"/>
        </w:lnSpc>
      </w:pPr>
      <w:r>
        <w:rPr>
          <w:rFonts w:ascii="Times New Roman" w:hAnsi="Times New Roman"/>
          <w:b/>
          <w:i w:val="0"/>
          <w:sz w:val="24"/>
        </w:rPr>
        <w:t>PHẦN 2: PHƯƠNG PHÁP NGHIÊN CỨU</w:t>
      </w:r>
    </w:p>
    <w:p>
      <w:pPr>
        <w:lnSpc>
          <w:lnSpcVal w:type="auto" w:val="288"/>
        </w:lnSpc>
      </w:pPr>
      <w:r>
        <w:rPr>
          <w:rFonts w:ascii="Times New Roman" w:hAnsi="Times New Roman"/>
          <w:b w:val="0"/>
          <w:i w:val="0"/>
          <w:sz w:val="24"/>
        </w:rPr>
        <w:t xml:space="preserve">    2.1 Dữ liệu và mẫu</w:t>
      </w:r>
    </w:p>
    <w:p>
      <w:pPr>
        <w:lnSpc>
          <w:lnSpcVal w:type="auto" w:val="288"/>
        </w:lnSpc>
      </w:pPr>
      <w:r>
        <w:rPr>
          <w:rFonts w:ascii="Times New Roman" w:hAnsi="Times New Roman"/>
          <w:b w:val="0"/>
          <w:i w:val="0"/>
          <w:sz w:val="24"/>
        </w:rPr>
        <w:t xml:space="preserve">    2.2 Đo lường các biến</w:t>
      </w:r>
    </w:p>
    <w:p>
      <w:pPr>
        <w:lnSpc>
          <w:lnSpcVal w:type="auto" w:val="288"/>
        </w:lnSpc>
      </w:pPr>
      <w:r>
        <w:rPr>
          <w:rFonts w:ascii="Times New Roman" w:hAnsi="Times New Roman"/>
          <w:b w:val="0"/>
          <w:i w:val="0"/>
          <w:sz w:val="24"/>
        </w:rPr>
        <w:t xml:space="preserve">    2.3 Phương pháp ước lượng</w:t>
      </w:r>
    </w:p>
    <w:p>
      <w:pPr>
        <w:lnSpc>
          <w:lnSpcVal w:type="auto" w:val="288"/>
        </w:lnSpc>
      </w:pPr>
      <w:r>
        <w:rPr>
          <w:rFonts w:ascii="Times New Roman" w:hAnsi="Times New Roman"/>
          <w:b/>
          <w:i w:val="0"/>
          <w:sz w:val="24"/>
        </w:rPr>
        <w:t>PHẦN 3: KẾT QUẢ VÀ THẢO LUẬN</w:t>
      </w:r>
    </w:p>
    <w:p>
      <w:pPr>
        <w:lnSpc>
          <w:lnSpcVal w:type="auto" w:val="288"/>
        </w:lnSpc>
      </w:pPr>
      <w:r>
        <w:rPr>
          <w:rFonts w:ascii="Times New Roman" w:hAnsi="Times New Roman"/>
          <w:b w:val="0"/>
          <w:i w:val="0"/>
          <w:sz w:val="24"/>
        </w:rPr>
        <w:t xml:space="preserve">    3.1 Bài báo 1 – Việt Nam</w:t>
      </w:r>
    </w:p>
    <w:p>
      <w:pPr>
        <w:lnSpc>
          <w:lnSpcVal w:type="auto" w:val="288"/>
        </w:lnSpc>
      </w:pPr>
      <w:r>
        <w:rPr>
          <w:rFonts w:ascii="Times New Roman" w:hAnsi="Times New Roman"/>
          <w:b w:val="0"/>
          <w:i w:val="0"/>
          <w:sz w:val="24"/>
        </w:rPr>
        <w:t xml:space="preserve">    3.2 Bài báo 2 – Singapore</w:t>
      </w:r>
    </w:p>
    <w:p>
      <w:pPr>
        <w:lnSpc>
          <w:lnSpcVal w:type="auto" w:val="288"/>
        </w:lnSpc>
      </w:pPr>
      <w:r>
        <w:rPr>
          <w:rFonts w:ascii="Times New Roman" w:hAnsi="Times New Roman"/>
          <w:b w:val="0"/>
          <w:i w:val="0"/>
          <w:sz w:val="24"/>
        </w:rPr>
        <w:t xml:space="preserve">    3.3 Bài báo 3 – Trung Quốc</w:t>
      </w:r>
    </w:p>
    <w:p>
      <w:pPr>
        <w:lnSpc>
          <w:lnSpcVal w:type="auto" w:val="288"/>
        </w:lnSpc>
      </w:pPr>
      <w:r>
        <w:rPr>
          <w:rFonts w:ascii="Times New Roman" w:hAnsi="Times New Roman"/>
          <w:b/>
          <w:i w:val="0"/>
          <w:sz w:val="24"/>
        </w:rPr>
        <w:t>PHẦN 4: KẾT LUẬN VÀ ĐỀ XUẤT</w:t>
      </w:r>
    </w:p>
    <w:p>
      <w:pPr>
        <w:lnSpc>
          <w:lnSpcVal w:type="auto" w:val="288"/>
        </w:lnSpc>
      </w:pPr>
      <w:r>
        <w:rPr>
          <w:rFonts w:ascii="Times New Roman" w:hAnsi="Times New Roman"/>
          <w:b/>
          <w:i w:val="0"/>
          <w:sz w:val="24"/>
        </w:rPr>
        <w:t>TÀI LIỆU THAM KHẢO</w:t>
      </w:r>
    </w:p>
    <w:p>
      <w:r>
        <w:br w:type="page"/>
      </w:r>
    </w:p>
    <w:p>
      <w:pPr>
        <w:pStyle w:val="Heading1"/>
        <w:lnSpc>
          <w:lnSpcVal w:type="auto" w:val="288"/>
        </w:lnSpc>
        <w:jc w:val="center"/>
      </w:pPr>
      <w:r>
        <w:rPr>
          <w:rFonts w:ascii="Times New Roman" w:hAnsi="Times New Roman"/>
        </w:rPr>
        <w:t>DANH MỤC BẢNG</w:t>
      </w:r>
    </w:p>
    <w:p>
      <w:pPr>
        <w:lnSpc>
          <w:lnSpcVal w:type="auto" w:val="288"/>
        </w:lnSpc>
      </w:pPr>
      <w:r>
        <w:rPr>
          <w:rFonts w:ascii="Times New Roman" w:hAnsi="Times New Roman"/>
          <w:b w:val="0"/>
          <w:i w:val="0"/>
          <w:sz w:val="24"/>
        </w:rPr>
        <w:t>Bảng 1.1: Tổng quan ba bài báo nghiên cứu</w:t>
      </w:r>
    </w:p>
    <w:p>
      <w:pPr>
        <w:lnSpc>
          <w:lnSpcVal w:type="auto" w:val="288"/>
        </w:lnSpc>
      </w:pPr>
      <w:r>
        <w:rPr>
          <w:rFonts w:ascii="Times New Roman" w:hAnsi="Times New Roman"/>
          <w:b w:val="0"/>
          <w:i w:val="0"/>
          <w:sz w:val="24"/>
        </w:rPr>
        <w:t>Bảng 2.1: Mô tả biến số và nguồn dữ liệu</w:t>
      </w:r>
    </w:p>
    <w:p>
      <w:pPr>
        <w:lnSpc>
          <w:lnSpcVal w:type="auto" w:val="288"/>
        </w:lnSpc>
      </w:pPr>
      <w:r>
        <w:rPr>
          <w:rFonts w:ascii="Times New Roman" w:hAnsi="Times New Roman"/>
          <w:b w:val="0"/>
          <w:i w:val="0"/>
          <w:sz w:val="24"/>
        </w:rPr>
        <w:t>Bảng 3.1: Thống kê mô tả mẫu nghiên cứu – Việt Nam (3 làn sóng)</w:t>
      </w:r>
    </w:p>
    <w:p>
      <w:pPr>
        <w:lnSpc>
          <w:lnSpcVal w:type="auto" w:val="288"/>
        </w:lnSpc>
      </w:pPr>
      <w:r>
        <w:rPr>
          <w:rFonts w:ascii="Times New Roman" w:hAnsi="Times New Roman"/>
          <w:b w:val="0"/>
          <w:i w:val="0"/>
          <w:sz w:val="24"/>
        </w:rPr>
        <w:t>Bảng 3.2: Tóm tắt hệ số hồi quy focal – Việt Nam theo làn sóng và gộp</w:t>
      </w:r>
    </w:p>
    <w:p>
      <w:pPr>
        <w:lnSpc>
          <w:lnSpcVal w:type="auto" w:val="288"/>
        </w:lnSpc>
      </w:pPr>
      <w:r>
        <w:rPr>
          <w:rFonts w:ascii="Times New Roman" w:hAnsi="Times New Roman"/>
          <w:b w:val="0"/>
          <w:i w:val="0"/>
          <w:sz w:val="24"/>
        </w:rPr>
        <w:t>Bảng 3.3: Kiểm tra tính bền vững – Việt Nam</w:t>
      </w:r>
    </w:p>
    <w:p>
      <w:pPr>
        <w:lnSpc>
          <w:lnSpcVal w:type="auto" w:val="288"/>
        </w:lnSpc>
      </w:pPr>
      <w:r>
        <w:rPr>
          <w:rFonts w:ascii="Times New Roman" w:hAnsi="Times New Roman"/>
          <w:b w:val="0"/>
          <w:i w:val="0"/>
          <w:sz w:val="24"/>
        </w:rPr>
        <w:t>Bảng 3.4: Điểm ngoặt ước lượng theo mô hình M2 – Việt Nam</w:t>
      </w:r>
    </w:p>
    <w:p>
      <w:pPr>
        <w:lnSpc>
          <w:lnSpcVal w:type="auto" w:val="288"/>
        </w:lnSpc>
      </w:pPr>
      <w:r>
        <w:rPr>
          <w:rFonts w:ascii="Times New Roman" w:hAnsi="Times New Roman"/>
          <w:b w:val="0"/>
          <w:i w:val="0"/>
          <w:sz w:val="24"/>
        </w:rPr>
        <w:t>Bảng 3.5: Thống kê mô tả – Singapore 2023</w:t>
      </w:r>
    </w:p>
    <w:p>
      <w:pPr>
        <w:lnSpc>
          <w:lnSpcVal w:type="auto" w:val="288"/>
        </w:lnSpc>
      </w:pPr>
      <w:r>
        <w:rPr>
          <w:rFonts w:ascii="Times New Roman" w:hAnsi="Times New Roman"/>
          <w:b w:val="0"/>
          <w:i w:val="0"/>
          <w:sz w:val="24"/>
        </w:rPr>
        <w:t>Bảng 3.6: Kết quả hồi quy OLS theo mô hình tuần tự – Singapore</w:t>
      </w:r>
    </w:p>
    <w:p>
      <w:pPr>
        <w:lnSpc>
          <w:lnSpcVal w:type="auto" w:val="288"/>
        </w:lnSpc>
      </w:pPr>
      <w:r>
        <w:rPr>
          <w:rFonts w:ascii="Times New Roman" w:hAnsi="Times New Roman"/>
          <w:b w:val="0"/>
          <w:i w:val="0"/>
          <w:sz w:val="24"/>
        </w:rPr>
        <w:t>Bảng 3.7: Kiểm tra tính bền vững – Singapore</w:t>
      </w:r>
    </w:p>
    <w:p>
      <w:pPr>
        <w:lnSpc>
          <w:lnSpcVal w:type="auto" w:val="288"/>
        </w:lnSpc>
      </w:pPr>
      <w:r>
        <w:rPr>
          <w:rFonts w:ascii="Times New Roman" w:hAnsi="Times New Roman"/>
          <w:b w:val="0"/>
          <w:i w:val="0"/>
          <w:sz w:val="24"/>
        </w:rPr>
        <w:t>Bảng 3.8: Hiệu ứng biên của DAI theo mức độ FSTS – Singapore</w:t>
      </w:r>
    </w:p>
    <w:p>
      <w:pPr>
        <w:lnSpc>
          <w:lnSpcVal w:type="auto" w:val="288"/>
        </w:lnSpc>
      </w:pPr>
      <w:r>
        <w:rPr>
          <w:rFonts w:ascii="Times New Roman" w:hAnsi="Times New Roman"/>
          <w:b w:val="0"/>
          <w:i w:val="0"/>
          <w:sz w:val="24"/>
        </w:rPr>
        <w:t>Bảng 3.9: Thống kê mô tả – Trung Quốc (2012 và 2024)</w:t>
      </w:r>
    </w:p>
    <w:p>
      <w:pPr>
        <w:lnSpc>
          <w:lnSpcVal w:type="auto" w:val="288"/>
        </w:lnSpc>
      </w:pPr>
      <w:r>
        <w:rPr>
          <w:rFonts w:ascii="Times New Roman" w:hAnsi="Times New Roman"/>
          <w:b w:val="0"/>
          <w:i w:val="0"/>
          <w:sz w:val="24"/>
        </w:rPr>
        <w:t>Bảng 3.10: Mô hình ngưỡng M2 – Trung Quốc</w:t>
      </w:r>
    </w:p>
    <w:p>
      <w:pPr>
        <w:lnSpc>
          <w:lnSpcVal w:type="auto" w:val="288"/>
        </w:lnSpc>
      </w:pPr>
      <w:r>
        <w:rPr>
          <w:rFonts w:ascii="Times New Roman" w:hAnsi="Times New Roman"/>
          <w:b w:val="0"/>
          <w:i w:val="0"/>
          <w:sz w:val="24"/>
        </w:rPr>
        <w:t>Bảng 3.11: Kiểm định điều tiết ba chiều – Trung Quốc</w:t>
      </w:r>
    </w:p>
    <w:p>
      <w:r>
        <w:br w:type="page"/>
      </w:r>
    </w:p>
    <w:p>
      <w:pPr>
        <w:pStyle w:val="Heading1"/>
        <w:lnSpc>
          <w:lnSpcVal w:type="auto" w:val="288"/>
        </w:lnSpc>
        <w:jc w:val="center"/>
      </w:pPr>
      <w:r>
        <w:rPr>
          <w:rFonts w:ascii="Times New Roman" w:hAnsi="Times New Roman"/>
        </w:rPr>
        <w:t>DANH MỤC HÌNH</w:t>
      </w:r>
    </w:p>
    <w:p>
      <w:pPr>
        <w:lnSpc>
          <w:lnSpcVal w:type="auto" w:val="288"/>
        </w:lnSpc>
      </w:pPr>
      <w:r>
        <w:rPr>
          <w:rFonts w:ascii="Times New Roman" w:hAnsi="Times New Roman"/>
          <w:b w:val="0"/>
          <w:i w:val="0"/>
          <w:sz w:val="24"/>
        </w:rPr>
        <w:t>Hình 1.1: Mô hình khái niệm tổng hợp – mối quan hệ I–P với TCI và DAI</w:t>
      </w:r>
    </w:p>
    <w:p>
      <w:pPr>
        <w:lnSpc>
          <w:lnSpcVal w:type="auto" w:val="288"/>
        </w:lnSpc>
      </w:pPr>
      <w:r>
        <w:rPr>
          <w:rFonts w:ascii="Times New Roman" w:hAnsi="Times New Roman"/>
          <w:b w:val="0"/>
          <w:i w:val="0"/>
          <w:sz w:val="24"/>
        </w:rPr>
        <w:t>Hình 3.1: Mô hình khái niệm – Việt Nam</w:t>
      </w:r>
    </w:p>
    <w:p>
      <w:pPr>
        <w:lnSpc>
          <w:lnSpcVal w:type="auto" w:val="288"/>
        </w:lnSpc>
      </w:pPr>
      <w:r>
        <w:rPr>
          <w:rFonts w:ascii="Times New Roman" w:hAnsi="Times New Roman"/>
          <w:b w:val="0"/>
          <w:i w:val="0"/>
          <w:sz w:val="24"/>
        </w:rPr>
        <w:t>Hình 3.2: Đường cong I–P dự báo – Việt Nam 2009</w:t>
      </w:r>
    </w:p>
    <w:p>
      <w:pPr>
        <w:lnSpc>
          <w:lnSpcVal w:type="auto" w:val="288"/>
        </w:lnSpc>
      </w:pPr>
      <w:r>
        <w:rPr>
          <w:rFonts w:ascii="Times New Roman" w:hAnsi="Times New Roman"/>
          <w:b w:val="0"/>
          <w:i w:val="0"/>
          <w:sz w:val="24"/>
        </w:rPr>
        <w:t>Hình 3.3: Đường cong I–P dự báo – Việt Nam 2015</w:t>
      </w:r>
    </w:p>
    <w:p>
      <w:pPr>
        <w:lnSpc>
          <w:lnSpcVal w:type="auto" w:val="288"/>
        </w:lnSpc>
      </w:pPr>
      <w:r>
        <w:rPr>
          <w:rFonts w:ascii="Times New Roman" w:hAnsi="Times New Roman"/>
          <w:b w:val="0"/>
          <w:i w:val="0"/>
          <w:sz w:val="24"/>
        </w:rPr>
        <w:t>Hình 3.4: Đường cong I–P dự báo – Việt Nam 2023</w:t>
      </w:r>
    </w:p>
    <w:p>
      <w:pPr>
        <w:lnSpc>
          <w:lnSpcVal w:type="auto" w:val="288"/>
        </w:lnSpc>
      </w:pPr>
      <w:r>
        <w:rPr>
          <w:rFonts w:ascii="Times New Roman" w:hAnsi="Times New Roman"/>
          <w:b w:val="0"/>
          <w:i w:val="0"/>
          <w:sz w:val="24"/>
        </w:rPr>
        <w:t>Hình 3.5: Đường cong I–P dự báo – Việt Nam gộp 3 làn sóng</w:t>
      </w:r>
    </w:p>
    <w:p>
      <w:pPr>
        <w:lnSpc>
          <w:lnSpcVal w:type="auto" w:val="288"/>
        </w:lnSpc>
      </w:pPr>
      <w:r>
        <w:rPr>
          <w:rFonts w:ascii="Times New Roman" w:hAnsi="Times New Roman"/>
          <w:b w:val="0"/>
          <w:i w:val="0"/>
          <w:sz w:val="24"/>
        </w:rPr>
        <w:t>Hình 3.6: Hiệu ứng DAI theo mức FSTS – Việt Nam 2023</w:t>
      </w:r>
    </w:p>
    <w:p>
      <w:pPr>
        <w:lnSpc>
          <w:lnSpcVal w:type="auto" w:val="288"/>
        </w:lnSpc>
      </w:pPr>
      <w:r>
        <w:rPr>
          <w:rFonts w:ascii="Times New Roman" w:hAnsi="Times New Roman"/>
          <w:b w:val="0"/>
          <w:i w:val="0"/>
          <w:sz w:val="24"/>
        </w:rPr>
        <w:t>Hình 3.7: Mô hình khái niệm – Singapore</w:t>
      </w:r>
    </w:p>
    <w:p>
      <w:pPr>
        <w:lnSpc>
          <w:lnSpcVal w:type="auto" w:val="288"/>
        </w:lnSpc>
      </w:pPr>
      <w:r>
        <w:rPr>
          <w:rFonts w:ascii="Times New Roman" w:hAnsi="Times New Roman"/>
          <w:b w:val="0"/>
          <w:i w:val="0"/>
          <w:sz w:val="24"/>
        </w:rPr>
        <w:t>Hình 3.8: Hiệu ứng biên của DAI theo FSTS – Singapore</w:t>
      </w:r>
    </w:p>
    <w:p>
      <w:pPr>
        <w:lnSpc>
          <w:lnSpcVal w:type="auto" w:val="288"/>
        </w:lnSpc>
      </w:pPr>
      <w:r>
        <w:rPr>
          <w:rFonts w:ascii="Times New Roman" w:hAnsi="Times New Roman"/>
          <w:b w:val="0"/>
          <w:i w:val="0"/>
          <w:sz w:val="24"/>
        </w:rPr>
        <w:t>Hình 3.9: Đường cong I–P dự báo – Singapore 2023</w:t>
      </w:r>
    </w:p>
    <w:p>
      <w:pPr>
        <w:lnSpc>
          <w:lnSpcVal w:type="auto" w:val="288"/>
        </w:lnSpc>
      </w:pPr>
      <w:r>
        <w:rPr>
          <w:rFonts w:ascii="Times New Roman" w:hAnsi="Times New Roman"/>
          <w:b w:val="0"/>
          <w:i w:val="0"/>
          <w:sz w:val="24"/>
        </w:rPr>
        <w:t>Hình 3.10: Mô hình khái niệm – Trung Quốc</w:t>
      </w:r>
    </w:p>
    <w:p>
      <w:pPr>
        <w:lnSpc>
          <w:lnSpcVal w:type="auto" w:val="288"/>
        </w:lnSpc>
      </w:pPr>
      <w:r>
        <w:rPr>
          <w:rFonts w:ascii="Times New Roman" w:hAnsi="Times New Roman"/>
          <w:b w:val="0"/>
          <w:i w:val="0"/>
          <w:sz w:val="24"/>
        </w:rPr>
        <w:t>Hình 3.11: Điểm ngoặt ước lượng với CI 95% – Trung Quốc 2012 và 2024</w:t>
      </w:r>
    </w:p>
    <w:p>
      <w:pPr>
        <w:lnSpc>
          <w:lnSpcVal w:type="auto" w:val="288"/>
        </w:lnSpc>
      </w:pPr>
      <w:r>
        <w:rPr>
          <w:rFonts w:ascii="Times New Roman" w:hAnsi="Times New Roman"/>
          <w:b w:val="0"/>
          <w:i w:val="0"/>
          <w:sz w:val="24"/>
        </w:rPr>
        <w:t>Hình 3.12: Đường cong I–P dự báo so sánh – Trung Quốc 2012 vs 2024</w:t>
      </w:r>
    </w:p>
    <w:p>
      <w:pPr>
        <w:lnSpc>
          <w:lnSpcVal w:type="auto" w:val="288"/>
        </w:lnSpc>
      </w:pPr>
      <w:r>
        <w:rPr>
          <w:rFonts w:ascii="Times New Roman" w:hAnsi="Times New Roman"/>
          <w:b w:val="0"/>
          <w:i w:val="0"/>
          <w:sz w:val="24"/>
        </w:rPr>
        <w:t>Hình 3.13: Hệ số TCI và DAI theo làn sóng – Trung Quốc</w:t>
      </w:r>
    </w:p>
    <w:p>
      <w:r>
        <w:br w:type="page"/>
      </w:r>
    </w:p>
    <w:p>
      <w:pPr>
        <w:pStyle w:val="Heading1"/>
        <w:lnSpc>
          <w:lnSpcVal w:type="auto" w:val="288"/>
        </w:lnSpc>
        <w:jc w:val="center"/>
      </w:pPr>
      <w:r>
        <w:rPr>
          <w:rFonts w:ascii="Times New Roman" w:hAnsi="Times New Roman"/>
        </w:rPr>
        <w:t>DANH MỤC TỪ VIẾT TẮT</w:t>
      </w:r>
    </w:p>
    <w:p>
      <w:pPr>
        <w:ind w:firstLine="0" w:left="850"/>
        <w:lnSpc>
          <w:lnSpcVal w:type="auto" w:val="288"/>
        </w:lnSpc>
      </w:pPr>
      <w:r>
        <w:rPr>
          <w:rFonts w:ascii="Times New Roman" w:hAnsi="Times New Roman"/>
          <w:b/>
          <w:sz w:val="24"/>
        </w:rPr>
        <w:t>ATT</w:t>
      </w:r>
      <w:r>
        <w:rPr>
          <w:rFonts w:ascii="Times New Roman" w:hAnsi="Times New Roman"/>
          <w:sz w:val="24"/>
        </w:rPr>
        <w:t xml:space="preserve">  Average Treatment Effect on the Treated – Hiệu ứng điều trị trung bình trên nhóm được điều trị</w:t>
      </w:r>
    </w:p>
    <w:p>
      <w:pPr>
        <w:ind w:firstLine="0" w:left="850"/>
        <w:lnSpc>
          <w:lnSpcVal w:type="auto" w:val="288"/>
        </w:lnSpc>
      </w:pPr>
      <w:r>
        <w:rPr>
          <w:rFonts w:ascii="Times New Roman" w:hAnsi="Times New Roman"/>
          <w:b/>
          <w:sz w:val="24"/>
        </w:rPr>
        <w:t>CI</w:t>
      </w:r>
      <w:r>
        <w:rPr>
          <w:rFonts w:ascii="Times New Roman" w:hAnsi="Times New Roman"/>
          <w:sz w:val="24"/>
        </w:rPr>
        <w:t xml:space="preserve">  Confidence Interval – Khoảng tin cậy</w:t>
      </w:r>
    </w:p>
    <w:p>
      <w:pPr>
        <w:ind w:firstLine="0" w:left="850"/>
        <w:lnSpc>
          <w:lnSpcVal w:type="auto" w:val="288"/>
        </w:lnSpc>
      </w:pPr>
      <w:r>
        <w:rPr>
          <w:rFonts w:ascii="Times New Roman" w:hAnsi="Times New Roman"/>
          <w:b/>
          <w:sz w:val="24"/>
        </w:rPr>
        <w:t>CTU</w:t>
      </w:r>
      <w:r>
        <w:rPr>
          <w:rFonts w:ascii="Times New Roman" w:hAnsi="Times New Roman"/>
          <w:sz w:val="24"/>
        </w:rPr>
        <w:t xml:space="preserve">  Trường Đại học Cần Thơ (Can Tho University)</w:t>
      </w:r>
    </w:p>
    <w:p>
      <w:pPr>
        <w:ind w:firstLine="0" w:left="850"/>
        <w:lnSpc>
          <w:lnSpcVal w:type="auto" w:val="288"/>
        </w:lnSpc>
      </w:pPr>
      <w:r>
        <w:rPr>
          <w:rFonts w:ascii="Times New Roman" w:hAnsi="Times New Roman"/>
          <w:b/>
          <w:sz w:val="24"/>
        </w:rPr>
        <w:t>DAI</w:t>
      </w:r>
      <w:r>
        <w:rPr>
          <w:rFonts w:ascii="Times New Roman" w:hAnsi="Times New Roman"/>
          <w:sz w:val="24"/>
        </w:rPr>
        <w:t xml:space="preserve">  Digital Adoption Index – Chỉ số chấp nhận kỹ thuật số</w:t>
      </w:r>
    </w:p>
    <w:p>
      <w:pPr>
        <w:ind w:firstLine="0" w:left="850"/>
        <w:lnSpc>
          <w:lnSpcVal w:type="auto" w:val="288"/>
        </w:lnSpc>
      </w:pPr>
      <w:r>
        <w:rPr>
          <w:rFonts w:ascii="Times New Roman" w:hAnsi="Times New Roman"/>
          <w:b/>
          <w:sz w:val="24"/>
        </w:rPr>
        <w:t>DAI_z</w:t>
      </w:r>
      <w:r>
        <w:rPr>
          <w:rFonts w:ascii="Times New Roman" w:hAnsi="Times New Roman"/>
          <w:sz w:val="24"/>
        </w:rPr>
        <w:t xml:space="preserve">  DAI chuẩn hóa z trong từng làn sóng</w:t>
      </w:r>
    </w:p>
    <w:p>
      <w:pPr>
        <w:ind w:firstLine="0" w:left="850"/>
        <w:lnSpc>
          <w:lnSpcVal w:type="auto" w:val="288"/>
        </w:lnSpc>
      </w:pPr>
      <w:r>
        <w:rPr>
          <w:rFonts w:ascii="Times New Roman" w:hAnsi="Times New Roman"/>
          <w:b/>
          <w:sz w:val="24"/>
        </w:rPr>
        <w:t>FDI</w:t>
      </w:r>
      <w:r>
        <w:rPr>
          <w:rFonts w:ascii="Times New Roman" w:hAnsi="Times New Roman"/>
          <w:sz w:val="24"/>
        </w:rPr>
        <w:t xml:space="preserve">  Foreign Direct Investment – Đầu tư trực tiếp nước ngoài</w:t>
      </w:r>
    </w:p>
    <w:p>
      <w:pPr>
        <w:ind w:firstLine="0" w:left="850"/>
        <w:lnSpc>
          <w:lnSpcVal w:type="auto" w:val="288"/>
        </w:lnSpc>
      </w:pPr>
      <w:r>
        <w:rPr>
          <w:rFonts w:ascii="Times New Roman" w:hAnsi="Times New Roman"/>
          <w:b/>
          <w:sz w:val="24"/>
        </w:rPr>
        <w:t>FSTS</w:t>
      </w:r>
      <w:r>
        <w:rPr>
          <w:rFonts w:ascii="Times New Roman" w:hAnsi="Times New Roman"/>
          <w:sz w:val="24"/>
        </w:rPr>
        <w:t xml:space="preserve">  Foreign Sales To Total Sales – Tỷ lệ doanh thu xuất khẩu/tổng doanh thu</w:t>
      </w:r>
    </w:p>
    <w:p>
      <w:pPr>
        <w:ind w:firstLine="0" w:left="850"/>
        <w:lnSpc>
          <w:lnSpcVal w:type="auto" w:val="288"/>
        </w:lnSpc>
      </w:pPr>
      <w:r>
        <w:rPr>
          <w:rFonts w:ascii="Times New Roman" w:hAnsi="Times New Roman"/>
          <w:b/>
          <w:sz w:val="24"/>
        </w:rPr>
        <w:t>FSTS_c</w:t>
      </w:r>
      <w:r>
        <w:rPr>
          <w:rFonts w:ascii="Times New Roman" w:hAnsi="Times New Roman"/>
          <w:sz w:val="24"/>
        </w:rPr>
        <w:t xml:space="preserve">  FSTS đã căn chỉnh trung bình (mean-centered)</w:t>
      </w:r>
    </w:p>
    <w:p>
      <w:pPr>
        <w:ind w:firstLine="0" w:left="850"/>
        <w:lnSpc>
          <w:lnSpcVal w:type="auto" w:val="288"/>
        </w:lnSpc>
      </w:pPr>
      <w:r>
        <w:rPr>
          <w:rFonts w:ascii="Times New Roman" w:hAnsi="Times New Roman"/>
          <w:b/>
          <w:sz w:val="24"/>
        </w:rPr>
        <w:t>HC1</w:t>
      </w:r>
      <w:r>
        <w:rPr>
          <w:rFonts w:ascii="Times New Roman" w:hAnsi="Times New Roman"/>
          <w:sz w:val="24"/>
        </w:rPr>
        <w:t xml:space="preserve">  Heteroskedasticity-Consistent standard errors loại 1</w:t>
      </w:r>
    </w:p>
    <w:p>
      <w:pPr>
        <w:ind w:firstLine="0" w:left="850"/>
        <w:lnSpc>
          <w:lnSpcVal w:type="auto" w:val="288"/>
        </w:lnSpc>
      </w:pPr>
      <w:r>
        <w:rPr>
          <w:rFonts w:ascii="Times New Roman" w:hAnsi="Times New Roman"/>
          <w:b/>
          <w:sz w:val="24"/>
        </w:rPr>
        <w:t>I–P</w:t>
      </w:r>
      <w:r>
        <w:rPr>
          <w:rFonts w:ascii="Times New Roman" w:hAnsi="Times New Roman"/>
          <w:sz w:val="24"/>
        </w:rPr>
        <w:t xml:space="preserve">  Internationalization–Performance – Quốc tế hóa–Hiệu suất</w:t>
      </w:r>
    </w:p>
    <w:p>
      <w:pPr>
        <w:ind w:firstLine="0" w:left="850"/>
        <w:lnSpc>
          <w:lnSpcVal w:type="auto" w:val="288"/>
        </w:lnSpc>
      </w:pPr>
      <w:r>
        <w:rPr>
          <w:rFonts w:ascii="Times New Roman" w:hAnsi="Times New Roman"/>
          <w:b/>
          <w:sz w:val="24"/>
        </w:rPr>
        <w:t>IMR</w:t>
      </w:r>
      <w:r>
        <w:rPr>
          <w:rFonts w:ascii="Times New Roman" w:hAnsi="Times New Roman"/>
          <w:sz w:val="24"/>
        </w:rPr>
        <w:t xml:space="preserve">  Inverse Mills Ratio – Tỷ số Mills nghịch (điều chỉnh lựa chọn mẫu)</w:t>
      </w:r>
    </w:p>
    <w:p>
      <w:pPr>
        <w:ind w:firstLine="0" w:left="850"/>
        <w:lnSpc>
          <w:lnSpcVal w:type="auto" w:val="288"/>
        </w:lnSpc>
      </w:pPr>
      <w:r>
        <w:rPr>
          <w:rFonts w:ascii="Times New Roman" w:hAnsi="Times New Roman"/>
          <w:b/>
          <w:sz w:val="24"/>
        </w:rPr>
        <w:t>ISIC</w:t>
      </w:r>
      <w:r>
        <w:rPr>
          <w:rFonts w:ascii="Times New Roman" w:hAnsi="Times New Roman"/>
          <w:sz w:val="24"/>
        </w:rPr>
        <w:t xml:space="preserve">  International Standard Industrial Classification – Phân loại công nghiệp quốc tế</w:t>
      </w:r>
    </w:p>
    <w:p>
      <w:pPr>
        <w:ind w:firstLine="0" w:left="850"/>
        <w:lnSpc>
          <w:lnSpcVal w:type="auto" w:val="288"/>
        </w:lnSpc>
      </w:pPr>
      <w:r>
        <w:rPr>
          <w:rFonts w:ascii="Times New Roman" w:hAnsi="Times New Roman"/>
          <w:b/>
          <w:sz w:val="24"/>
        </w:rPr>
        <w:t>IV</w:t>
      </w:r>
      <w:r>
        <w:rPr>
          <w:rFonts w:ascii="Times New Roman" w:hAnsi="Times New Roman"/>
          <w:sz w:val="24"/>
        </w:rPr>
        <w:t xml:space="preserve">  Instrumental Variable – Biến công cụ</w:t>
      </w:r>
    </w:p>
    <w:p>
      <w:pPr>
        <w:ind w:firstLine="0" w:left="850"/>
        <w:lnSpc>
          <w:lnSpcVal w:type="auto" w:val="288"/>
        </w:lnSpc>
      </w:pPr>
      <w:r>
        <w:rPr>
          <w:rFonts w:ascii="Times New Roman" w:hAnsi="Times New Roman"/>
          <w:b/>
          <w:sz w:val="24"/>
        </w:rPr>
        <w:t>lnEmp</w:t>
      </w:r>
      <w:r>
        <w:rPr>
          <w:rFonts w:ascii="Times New Roman" w:hAnsi="Times New Roman"/>
          <w:sz w:val="24"/>
        </w:rPr>
        <w:t xml:space="preserve">  Logarithm of permanent employees – Log số lao động thường xuyên</w:t>
      </w:r>
    </w:p>
    <w:p>
      <w:pPr>
        <w:ind w:firstLine="0" w:left="850"/>
        <w:lnSpc>
          <w:lnSpcVal w:type="auto" w:val="288"/>
        </w:lnSpc>
      </w:pPr>
      <w:r>
        <w:rPr>
          <w:rFonts w:ascii="Times New Roman" w:hAnsi="Times New Roman"/>
          <w:b/>
          <w:sz w:val="24"/>
        </w:rPr>
        <w:t>lnLP</w:t>
      </w:r>
      <w:r>
        <w:rPr>
          <w:rFonts w:ascii="Times New Roman" w:hAnsi="Times New Roman"/>
          <w:sz w:val="24"/>
        </w:rPr>
        <w:t xml:space="preserve">  Log Labour Productivity – Log năng suất lao động</w:t>
      </w:r>
    </w:p>
    <w:p>
      <w:pPr>
        <w:ind w:firstLine="0" w:left="850"/>
        <w:lnSpc>
          <w:lnSpcVal w:type="auto" w:val="288"/>
        </w:lnSpc>
      </w:pPr>
      <w:r>
        <w:rPr>
          <w:rFonts w:ascii="Times New Roman" w:hAnsi="Times New Roman"/>
          <w:b/>
          <w:sz w:val="24"/>
        </w:rPr>
        <w:t>NCS</w:t>
      </w:r>
      <w:r>
        <w:rPr>
          <w:rFonts w:ascii="Times New Roman" w:hAnsi="Times New Roman"/>
          <w:sz w:val="24"/>
        </w:rPr>
        <w:t xml:space="preserve">  Nghiên cứu sinh</w:t>
      </w:r>
    </w:p>
    <w:p>
      <w:pPr>
        <w:ind w:firstLine="0" w:left="850"/>
        <w:lnSpc>
          <w:lnSpcVal w:type="auto" w:val="288"/>
        </w:lnSpc>
      </w:pPr>
      <w:r>
        <w:rPr>
          <w:rFonts w:ascii="Times New Roman" w:hAnsi="Times New Roman"/>
          <w:b/>
          <w:sz w:val="24"/>
        </w:rPr>
        <w:t>OLS</w:t>
      </w:r>
      <w:r>
        <w:rPr>
          <w:rFonts w:ascii="Times New Roman" w:hAnsi="Times New Roman"/>
          <w:sz w:val="24"/>
        </w:rPr>
        <w:t xml:space="preserve">  Ordinary Least Squares – Bình phương nhỏ nhất thông thường</w:t>
      </w:r>
    </w:p>
    <w:p>
      <w:pPr>
        <w:ind w:firstLine="0" w:left="850"/>
        <w:lnSpc>
          <w:lnSpcVal w:type="auto" w:val="288"/>
        </w:lnSpc>
      </w:pPr>
      <w:r>
        <w:rPr>
          <w:rFonts w:ascii="Times New Roman" w:hAnsi="Times New Roman"/>
          <w:b/>
          <w:sz w:val="24"/>
        </w:rPr>
        <w:t>PSM</w:t>
      </w:r>
      <w:r>
        <w:rPr>
          <w:rFonts w:ascii="Times New Roman" w:hAnsi="Times New Roman"/>
          <w:sz w:val="24"/>
        </w:rPr>
        <w:t xml:space="preserve">  Propensity Score Matching – Ghép cặp điểm xu hướng</w:t>
      </w:r>
    </w:p>
    <w:p>
      <w:pPr>
        <w:ind w:firstLine="0" w:left="850"/>
        <w:lnSpc>
          <w:lnSpcVal w:type="auto" w:val="288"/>
        </w:lnSpc>
      </w:pPr>
      <w:r>
        <w:rPr>
          <w:rFonts w:ascii="Times New Roman" w:hAnsi="Times New Roman"/>
          <w:b/>
          <w:sz w:val="24"/>
        </w:rPr>
        <w:t>R²</w:t>
      </w:r>
      <w:r>
        <w:rPr>
          <w:rFonts w:ascii="Times New Roman" w:hAnsi="Times New Roman"/>
          <w:sz w:val="24"/>
        </w:rPr>
        <w:t xml:space="preserve">  Hệ số xác định (coefficient of determination)</w:t>
      </w:r>
    </w:p>
    <w:p>
      <w:pPr>
        <w:ind w:firstLine="0" w:left="850"/>
        <w:lnSpc>
          <w:lnSpcVal w:type="auto" w:val="288"/>
        </w:lnSpc>
      </w:pPr>
      <w:r>
        <w:rPr>
          <w:rFonts w:ascii="Times New Roman" w:hAnsi="Times New Roman"/>
          <w:b/>
          <w:sz w:val="24"/>
        </w:rPr>
        <w:t>SE</w:t>
      </w:r>
      <w:r>
        <w:rPr>
          <w:rFonts w:ascii="Times New Roman" w:hAnsi="Times New Roman"/>
          <w:sz w:val="24"/>
        </w:rPr>
        <w:t xml:space="preserve">  Standard Error – Sai số chuẩn</w:t>
      </w:r>
    </w:p>
    <w:p>
      <w:pPr>
        <w:ind w:firstLine="0" w:left="850"/>
        <w:lnSpc>
          <w:lnSpcVal w:type="auto" w:val="288"/>
        </w:lnSpc>
      </w:pPr>
      <w:r>
        <w:rPr>
          <w:rFonts w:ascii="Times New Roman" w:hAnsi="Times New Roman"/>
          <w:b/>
          <w:sz w:val="24"/>
        </w:rPr>
        <w:t>SME</w:t>
      </w:r>
      <w:r>
        <w:rPr>
          <w:rFonts w:ascii="Times New Roman" w:hAnsi="Times New Roman"/>
          <w:sz w:val="24"/>
        </w:rPr>
        <w:t xml:space="preserve">  Small and Medium Enterprise – Doanh nghiệp vừa và nhỏ</w:t>
      </w:r>
    </w:p>
    <w:p>
      <w:pPr>
        <w:ind w:firstLine="0" w:left="850"/>
        <w:lnSpc>
          <w:lnSpcVal w:type="auto" w:val="288"/>
        </w:lnSpc>
      </w:pPr>
      <w:r>
        <w:rPr>
          <w:rFonts w:ascii="Times New Roman" w:hAnsi="Times New Roman"/>
          <w:b/>
          <w:sz w:val="24"/>
        </w:rPr>
        <w:t>TCI</w:t>
      </w:r>
      <w:r>
        <w:rPr>
          <w:rFonts w:ascii="Times New Roman" w:hAnsi="Times New Roman"/>
          <w:sz w:val="24"/>
        </w:rPr>
        <w:t xml:space="preserve">  Technological Capability Index – Chỉ số năng lực công nghệ</w:t>
      </w:r>
    </w:p>
    <w:p>
      <w:pPr>
        <w:ind w:firstLine="0" w:left="850"/>
        <w:lnSpc>
          <w:lnSpcVal w:type="auto" w:val="288"/>
        </w:lnSpc>
      </w:pPr>
      <w:r>
        <w:rPr>
          <w:rFonts w:ascii="Times New Roman" w:hAnsi="Times New Roman"/>
          <w:b/>
          <w:sz w:val="24"/>
        </w:rPr>
        <w:t>TCI_z</w:t>
      </w:r>
      <w:r>
        <w:rPr>
          <w:rFonts w:ascii="Times New Roman" w:hAnsi="Times New Roman"/>
          <w:sz w:val="24"/>
        </w:rPr>
        <w:t xml:space="preserve">  TCI chuẩn hóa z trong từng làn sóng</w:t>
      </w:r>
    </w:p>
    <w:p>
      <w:pPr>
        <w:ind w:firstLine="0" w:left="850"/>
        <w:lnSpc>
          <w:lnSpcVal w:type="auto" w:val="288"/>
        </w:lnSpc>
      </w:pPr>
      <w:r>
        <w:rPr>
          <w:rFonts w:ascii="Times New Roman" w:hAnsi="Times New Roman"/>
          <w:b/>
          <w:sz w:val="24"/>
        </w:rPr>
        <w:t>WBES</w:t>
      </w:r>
      <w:r>
        <w:rPr>
          <w:rFonts w:ascii="Times New Roman" w:hAnsi="Times New Roman"/>
          <w:sz w:val="24"/>
        </w:rPr>
        <w:t xml:space="preserve">  World Bank Enterprise Survey – Khảo sát doanh nghiệp Ngân hàng Thế giới</w:t>
      </w:r>
    </w:p>
    <w:p>
      <w:pPr>
        <w:ind w:firstLine="0" w:left="850"/>
        <w:lnSpc>
          <w:lnSpcVal w:type="auto" w:val="288"/>
        </w:lnSpc>
      </w:pPr>
      <w:r>
        <w:rPr>
          <w:rFonts w:ascii="Times New Roman" w:hAnsi="Times New Roman"/>
          <w:b/>
          <w:sz w:val="24"/>
        </w:rPr>
        <w:t>2SLS</w:t>
      </w:r>
      <w:r>
        <w:rPr>
          <w:rFonts w:ascii="Times New Roman" w:hAnsi="Times New Roman"/>
          <w:sz w:val="24"/>
        </w:rPr>
        <w:t xml:space="preserve">  Two-Stage Least Squares – Bình phương nhỏ nhất hai giai đoạn</w:t>
      </w:r>
    </w:p>
    <w:p>
      <w:r>
        <w:br w:type="page"/>
      </w:r>
    </w:p>
    <w:p>
      <w:pPr>
        <w:pStyle w:val="Heading1"/>
        <w:lnSpc>
          <w:lnSpcVal w:type="auto" w:val="288"/>
        </w:lnSpc>
        <w:jc w:val="center"/>
      </w:pPr>
      <w:r>
        <w:rPr>
          <w:rFonts w:ascii="Times New Roman" w:hAnsi="Times New Roman"/>
        </w:rPr>
        <w:t>TÓM TẮT</w:t>
      </w:r>
    </w:p>
    <w:p>
      <w:pPr>
        <w:ind w:firstLine="720"/>
        <w:lnSpc>
          <w:lnSpcVal w:type="auto" w:val="288"/>
        </w:lnSpc>
      </w:pPr>
      <w:r>
        <w:rPr>
          <w:rFonts w:ascii="Times New Roman" w:hAnsi="Times New Roman"/>
          <w:b w:val="0"/>
          <w:i w:val="0"/>
          <w:sz w:val="24"/>
        </w:rPr>
        <w:t>Chuyên đề này tổng hợp và phân tích ba bài báo nghiên cứu độc lập về mối quan hệ giữa quốc tế hóa và hiệu suất doanh nghiệp (internationalization–performance relationship, viết tắt I–P) trong bối cảnh châu Á mới nổi và phát triển, tập trung vào vai trò trung gian và điều tiết của năng lực công nghệ (Technological Capability Index – TCI) và chấp nhận kỹ thuật số nền tảng (Digital Adoption Index – DAI).</w:t>
      </w:r>
    </w:p>
    <w:p>
      <w:pPr>
        <w:ind w:firstLine="720"/>
        <w:lnSpc>
          <w:lnSpcVal w:type="auto" w:val="288"/>
        </w:lnSpc>
      </w:pPr>
      <w:r>
        <w:rPr>
          <w:rFonts w:ascii="Times New Roman" w:hAnsi="Times New Roman"/>
          <w:b w:val="0"/>
          <w:i w:val="0"/>
          <w:sz w:val="24"/>
        </w:rPr>
        <w:t>Mục tiêu nghiên cứu là làm rõ: (1) liệu mối quan hệ I–P có dạng phi tuyến (hình chữ U ngược) không, và điểm ngoặt xuất hiện ở mức độ cường độ xuất khẩu nào; (2) TCI và DAI tác động như thế nào – trực tiếp hay qua điều tiết đường cong I–P; và (3) các mô hình này có ổn định theo thời gian và bối cảnh thể chế khác nhau không.</w:t>
      </w:r>
    </w:p>
    <w:p>
      <w:pPr>
        <w:ind w:firstLine="720"/>
        <w:lnSpc>
          <w:lnSpcVal w:type="auto" w:val="288"/>
        </w:lnSpc>
      </w:pPr>
      <w:r>
        <w:rPr>
          <w:rFonts w:ascii="Times New Roman" w:hAnsi="Times New Roman"/>
          <w:b w:val="0"/>
          <w:i w:val="0"/>
          <w:sz w:val="24"/>
        </w:rPr>
        <w:t>Dữ liệu được lấy từ Khảo sát Doanh nghiệp Ngân hàng Thế giới (World Bank Enterprise Survey – WBES). Bài báo thứ nhất (Việt Nam) phân tích ba làn sóng năm 2009, 2015 và 2023 với tổng cỡ mẫu gộp N = 2.958 doanh nghiệp. Bài báo thứ hai (Singapore) sử dụng dữ liệu năm 2023, N = 623 doanh nghiệp. Bài báo thứ ba (Trung Quốc) khai thác hai làn sóng 2012 và 2024 với N gộp = 4.559 doanh nghiệp tư nhân. Phương pháp ước lượng chủ yếu là OLS với sai số chuẩn HC1, kết hợp kiểm định Lind–Mehlum, kiểm định Paternoster và các kiểm tra tính bền vững bổ sung.</w:t>
      </w:r>
    </w:p>
    <w:p>
      <w:pPr>
        <w:ind w:firstLine="720"/>
        <w:lnSpc>
          <w:lnSpcVal w:type="auto" w:val="288"/>
        </w:lnSpc>
      </w:pPr>
      <w:r>
        <w:rPr>
          <w:rFonts w:ascii="Times New Roman" w:hAnsi="Times New Roman"/>
          <w:b w:val="0"/>
          <w:i w:val="0"/>
          <w:sz w:val="24"/>
        </w:rPr>
        <w:t>Kết quả chính cho thấy ba phát hiện xuyên suốt. Thứ nhất, mối quan hệ I–P có dạng hình chữ U ngược tại cả ba bối cảnh, nhưng với điểm ngoặt khác nhau: khoảng 39–46% FSTS tại Việt Nam, khoảng 49% tại Trung Quốc, trong khi Singapore không xác định được điểm ngoặt rõ ràng trong phạm vi dữ liệu quan sát. Thứ hai, TCI là yếu tố nâng mức năng suất doanh nghiệp ổn định và nhất quán ở cả ba quốc gia, có ý nghĩa thống kê cao (β_z từ 0,123 đến 0,426, p &lt; 0,05). Thứ ba, DAI không phải là lợi thế đồng đều – hiệu ứng của DAI nhạy cảm với bối cảnh và giai đoạn phát triển: tại Việt Nam, DAI thay đổi theo từng làn sóng (mạnh năm 2009, triệt tiêu năm 2015, phục hồi năm 2023); tại Singapore, DAI chỉ trở thành nguồn lực bổ sung có điều kiện ở mức FSTS cao; tại Trung Quốc, DAI có tác động dịch chuyển mức năng suất nhưng không điều tiết được đường cong.</w:t>
      </w:r>
    </w:p>
    <w:p>
      <w:pPr>
        <w:ind w:firstLine="720"/>
        <w:lnSpc>
          <w:lnSpcVal w:type="auto" w:val="288"/>
        </w:lnSpc>
      </w:pPr>
      <w:r>
        <w:rPr>
          <w:rFonts w:ascii="Times New Roman" w:hAnsi="Times New Roman"/>
          <w:b w:val="0"/>
          <w:i w:val="0"/>
          <w:sz w:val="24"/>
        </w:rPr>
        <w:t>Chuyên đề đóng góp vào lý thuyết quốc tế hóa bằng cách phân biệt rõ ràng TCI và DAI như hai cấu trúc không tương đương, đồng thời cho thấy mô hình phi tuyến I–P là đặc điểm có tính cấu trúc của các nền kinh tế châu Á mới nổi, nhưng vị trí điểm ngoặt và vai trò của kỹ thuật số phụ thuộc vào giai đoạn chuyển đổi thể chế và hạ tầng số.</w:t>
      </w:r>
    </w:p>
    <w:p>
      <w:pPr>
        <w:ind w:firstLine="720"/>
        <w:lnSpc>
          <w:lnSpcVal w:type="auto" w:val="288"/>
        </w:lnSpc>
      </w:pPr>
      <w:r>
        <w:rPr>
          <w:rFonts w:ascii="Times New Roman" w:hAnsi="Times New Roman"/>
          <w:b w:val="0"/>
          <w:i w:val="0"/>
          <w:sz w:val="24"/>
        </w:rPr>
        <w:t>Từ khóa: quốc tế hóa–hiệu suất; năng lực công nghệ; chấp nhận kỹ thuật số; Việt Nam; Singapore; Trung Quốc; năng suất lao động doanh nghiệp.</w:t>
      </w:r>
    </w:p>
    <w:p>
      <w:r>
        <w:br w:type="page"/>
      </w:r>
    </w:p>
    <w:p>
      <w:pPr>
        <w:pStyle w:val="Heading1"/>
        <w:lnSpc>
          <w:lnSpcVal w:type="auto" w:val="288"/>
        </w:lnSpc>
        <w:jc w:val="center"/>
      </w:pPr>
      <w:r>
        <w:rPr>
          <w:rFonts w:ascii="Times New Roman" w:hAnsi="Times New Roman"/>
        </w:rPr>
        <w:t>ABSTRACT</w:t>
      </w:r>
    </w:p>
    <w:p>
      <w:pPr>
        <w:ind w:firstLine="720"/>
        <w:lnSpc>
          <w:lnSpcVal w:type="auto" w:val="288"/>
        </w:lnSpc>
      </w:pPr>
      <w:r>
        <w:rPr>
          <w:rFonts w:ascii="Times New Roman" w:hAnsi="Times New Roman"/>
          <w:b w:val="0"/>
          <w:i w:val="0"/>
          <w:sz w:val="24"/>
        </w:rPr>
        <w:t>This thesis report synthesizes and analyzes three independent research papers on the internationalization–performance (I–P) relationship in emerging and advanced Asian economies, focusing on the roles of technological capability (Technological Capability Index – TCI) and foundational digital adoption (Digital Adoption Index – DAI) as both direct effects and conditional moderators.</w:t>
      </w:r>
    </w:p>
    <w:p>
      <w:pPr>
        <w:ind w:firstLine="720"/>
        <w:lnSpc>
          <w:lnSpcVal w:type="auto" w:val="288"/>
        </w:lnSpc>
      </w:pPr>
      <w:r>
        <w:rPr>
          <w:rFonts w:ascii="Times New Roman" w:hAnsi="Times New Roman"/>
          <w:b w:val="0"/>
          <w:i w:val="0"/>
          <w:sz w:val="24"/>
        </w:rPr>
        <w:t>The research objectives are to clarify: (1) whether the I–P relationship is nonlinear (inverted-U shaped) and at what level of export intensity the turning point occurs; (2) how TCI and DAI operate — through direct level shifts or through moderation of the I–P curve; and (3) whether these patterns are stable across time and different institutional contexts.</w:t>
      </w:r>
    </w:p>
    <w:p>
      <w:pPr>
        <w:ind w:firstLine="720"/>
        <w:lnSpc>
          <w:lnSpcVal w:type="auto" w:val="288"/>
        </w:lnSpc>
      </w:pPr>
      <w:r>
        <w:rPr>
          <w:rFonts w:ascii="Times New Roman" w:hAnsi="Times New Roman"/>
          <w:b w:val="0"/>
          <w:i w:val="0"/>
          <w:sz w:val="24"/>
        </w:rPr>
        <w:t>Data are drawn from World Bank Enterprise Surveys (WBES). Paper 1 (Vietnam) analyzes three survey waves — 2009, 2015, and 2023 — with a pooled sample of N = 2,958 firms. Paper 2 (Singapore) uses 2023 data with N = 623 firms. Paper 3 (China) examines two waves — 2012 and 2024 — with a pooled sample of N = 4,559 private firms. The primary estimation method is OLS with HC1 robust standard errors, supplemented by Lind–Mehlum tests, Paternoster cross-wave z-tests, propensity score matching, and instrumental variables.</w:t>
      </w:r>
    </w:p>
    <w:p>
      <w:pPr>
        <w:ind w:firstLine="720"/>
        <w:lnSpc>
          <w:lnSpcVal w:type="auto" w:val="288"/>
        </w:lnSpc>
      </w:pPr>
      <w:r>
        <w:rPr>
          <w:rFonts w:ascii="Times New Roman" w:hAnsi="Times New Roman"/>
          <w:b w:val="0"/>
          <w:i w:val="0"/>
          <w:sz w:val="24"/>
        </w:rPr>
        <w:t>Three principal findings emerge across contexts. First, the I–P relationship is nonlinear in all three settings, but the turning point varies: approximately 39–46% of FSTS in Vietnam, approximately 49% in China, while Singapore does not exhibit a clearly identified right-side decline within the observed data range. Second, TCI is a robust and stable productivity level-shifter across all three countries (beta_z from 0.123 to 0.426, p &lt; 0.05). Third, DAI operates as a context-sensitive and stage-contingent resource rather than a universal productivity advantage: in Vietnam it varies across survey waves; in Singapore it functions as a conditional scaling complement active only at high export intensity; in China it provides a modest level shift without robustly moderating the inverted-U curvature.</w:t>
      </w:r>
    </w:p>
    <w:p>
      <w:pPr>
        <w:ind w:firstLine="720"/>
        <w:lnSpc>
          <w:lnSpcVal w:type="auto" w:val="288"/>
        </w:lnSpc>
      </w:pPr>
      <w:r>
        <w:rPr>
          <w:rFonts w:ascii="Times New Roman" w:hAnsi="Times New Roman"/>
          <w:b w:val="0"/>
          <w:i w:val="0"/>
          <w:sz w:val="24"/>
        </w:rPr>
        <w:t>This report contributes to internationalization theory by clearly distinguishing TCI and DAI as non-equivalent constructs and by showing that the nonlinear I–P pattern is a structural feature of emerging Asian economies, but that the location of the turning point and the role of digital adoption depend on the stage of institutional and digital infrastructure transition.</w:t>
      </w:r>
    </w:p>
    <w:p>
      <w:pPr>
        <w:ind w:firstLine="720"/>
        <w:lnSpc>
          <w:lnSpcVal w:type="auto" w:val="288"/>
        </w:lnSpc>
      </w:pPr>
      <w:r>
        <w:rPr>
          <w:rFonts w:ascii="Times New Roman" w:hAnsi="Times New Roman"/>
          <w:b w:val="0"/>
          <w:i w:val="0"/>
          <w:sz w:val="24"/>
        </w:rPr>
        <w:t>Keywords: internationalization–performance; technological capability; digital adoption; Vietnam; Singapore; China; firm labour productivity.</w:t>
      </w:r>
    </w:p>
    <w:p>
      <w:r>
        <w:br w:type="page"/>
      </w:r>
    </w:p>
    <w:p>
      <w:pPr>
        <w:pStyle w:val="Heading1"/>
        <w:lnSpc>
          <w:lnSpcVal w:type="auto" w:val="288"/>
        </w:lnSpc>
      </w:pPr>
      <w:r>
        <w:rPr>
          <w:rFonts w:ascii="Times New Roman" w:hAnsi="Times New Roman"/>
        </w:rPr>
        <w:t>PHẦN 1: ĐẶT VẤN ĐỀ</w:t>
      </w:r>
    </w:p>
    <w:p>
      <w:pPr>
        <w:pStyle w:val="Heading2"/>
        <w:lnSpc>
          <w:lnSpcVal w:type="auto" w:val="288"/>
        </w:lnSpc>
      </w:pPr>
      <w:r>
        <w:rPr>
          <w:rFonts w:ascii="Times New Roman" w:hAnsi="Times New Roman"/>
        </w:rPr>
        <w:t>1.1 Giới thiệu</w:t>
      </w:r>
    </w:p>
    <w:p>
      <w:pPr>
        <w:ind w:firstLine="720"/>
        <w:lnSpc>
          <w:lnSpcVal w:type="auto" w:val="288"/>
        </w:lnSpc>
      </w:pPr>
      <w:r>
        <w:rPr>
          <w:rFonts w:ascii="Times New Roman" w:hAnsi="Times New Roman"/>
          <w:b w:val="0"/>
          <w:i w:val="0"/>
          <w:sz w:val="24"/>
        </w:rPr>
        <w:t>Mối quan hệ giữa quốc tế hóa và hiệu suất doanh nghiệp (internationalization–performance relationship, viết tắt I–P) là một trong những chủ đề trung tâm của nghiên cứu kinh doanh quốc tế trong hơn bốn thập kỷ qua. Kể từ các công trình tiên phong của Vernon (1979), Lu và Beamish (2004), Hennart (2007) và Marano cùng cộng sự (2016), câu hỏi về bản chất của mối quan hệ này — tuyến tính, phi tuyến dạng S, hay hình chữ U ngược — đã thu hút lượng lớn bằng chứng thực nghiệm và tranh luận lý thuyết.</w:t>
      </w:r>
    </w:p>
    <w:p>
      <w:pPr>
        <w:ind w:firstLine="720"/>
        <w:lnSpc>
          <w:lnSpcVal w:type="auto" w:val="288"/>
        </w:lnSpc>
      </w:pPr>
      <w:r>
        <w:rPr>
          <w:rFonts w:ascii="Times New Roman" w:hAnsi="Times New Roman"/>
          <w:b w:val="0"/>
          <w:i w:val="0"/>
          <w:sz w:val="24"/>
        </w:rPr>
        <w:t>Bên cạnh đó, làn sóng số hóa toàn cầu đã tạo ra áp lực đòi hỏi phải tái nhận thức về cơ chế vận hành của mối quan hệ I–P. Câu hỏi đặt ra là: liệu năng lực công nghệ (technological capability) và chấp nhận kỹ thuật số (digital adoption) có thực sự là những nguồn lực bổ sung và nâng cao hiệu suất xuất khẩu, hay vai trò của chúng phụ thuộc vào bối cảnh thể chế và giai đoạn chuyển đổi số của nền kinh tế? Đây là khoảng trống lý thuyết quan trọng mà ba bài báo trong chuyên đề này cùng hướng tới giải quyết.</w:t>
      </w:r>
    </w:p>
    <w:p>
      <w:pPr>
        <w:ind w:firstLine="720"/>
        <w:lnSpc>
          <w:lnSpcVal w:type="auto" w:val="288"/>
        </w:lnSpc>
      </w:pPr>
      <w:r>
        <w:rPr>
          <w:rFonts w:ascii="Times New Roman" w:hAnsi="Times New Roman"/>
          <w:b w:val="0"/>
          <w:i w:val="0"/>
          <w:sz w:val="24"/>
        </w:rPr>
        <w:t>Ba bài báo được tổng hợp trong chuyên đề này đều sử dụng dữ liệu khảo sát doanh nghiệp cấp vi mô từ Ngân hàng Thế giới (World Bank Enterprise Survey – WBES), áp dụng các khung lý thuyết tương thích và phương pháp hồi quy nhất quán, nhưng lại đặt trong ba bối cảnh quốc gia khác nhau: Việt Nam (nền kinh tế chuyển đổi, ba làn sóng 2009–2023), Singapore (nền kinh tế số hóa cao, một làn sóng 2023), và Trung Quốc (nền kinh tế mới nổi lớn nhất, hai làn sóng 2012–2024). Sự đa dạng về bối cảnh thể chế và trình độ hạ tầng số cho phép rút ra những kết luận có tính so sánh về vai trò của TCI và DAI trong mối quan hệ I–P.</w:t>
      </w:r>
    </w:p>
    <w:p>
      <w:pPr>
        <w:ind w:firstLine="720"/>
        <w:lnSpc>
          <w:lnSpcVal w:type="auto" w:val="288"/>
        </w:lnSpc>
      </w:pPr>
      <w:r>
        <w:rPr>
          <w:rFonts w:ascii="Times New Roman" w:hAnsi="Times New Roman"/>
          <w:b w:val="0"/>
          <w:i w:val="0"/>
          <w:sz w:val="24"/>
        </w:rPr>
        <w:t>Chuyên đề này được thực hiện với tư cách là một báo cáo chuyên đề PhD theo quy định của Trường Đại học Cần Thơ (mẫu CTU Q1799/2021), gộp nội dung ba bài báo thành một tài liệu tổng hợp hệ thống, phân tích xuyên suốt và đặt trong bối cảnh lý thuyết quốc tế hóa đương đại.</w:t>
      </w:r>
    </w:p>
    <w:p>
      <w:pPr>
        <w:pStyle w:val="Heading2"/>
        <w:lnSpc>
          <w:lnSpcVal w:type="auto" w:val="288"/>
        </w:lnSpc>
      </w:pPr>
      <w:r>
        <w:rPr>
          <w:rFonts w:ascii="Times New Roman" w:hAnsi="Times New Roman"/>
        </w:rPr>
        <w:t>1.2 Mục tiêu nghiên cứu</w:t>
      </w:r>
    </w:p>
    <w:p>
      <w:pPr>
        <w:ind w:firstLine="720"/>
        <w:lnSpc>
          <w:lnSpcVal w:type="auto" w:val="288"/>
        </w:lnSpc>
      </w:pPr>
      <w:r>
        <w:rPr>
          <w:rFonts w:ascii="Times New Roman" w:hAnsi="Times New Roman"/>
          <w:b w:val="0"/>
          <w:i w:val="0"/>
          <w:sz w:val="24"/>
        </w:rPr>
        <w:t>Chuyên đề đặt ra ba mục tiêu nghiên cứu chính, có tính kế thừa từ các bài báo gốc và được mở rộng theo hướng tổng hợp xuyên bối cảnh:</w:t>
      </w:r>
    </w:p>
    <w:p>
      <w:pPr>
        <w:ind w:firstLine="720"/>
        <w:lnSpc>
          <w:lnSpcVal w:type="auto" w:val="288"/>
        </w:lnSpc>
      </w:pPr>
      <w:r>
        <w:rPr>
          <w:rFonts w:ascii="Times New Roman" w:hAnsi="Times New Roman"/>
          <w:b w:val="0"/>
          <w:i w:val="0"/>
          <w:sz w:val="24"/>
        </w:rPr>
        <w:t>Mục tiêu 1 là phân tích và so sánh bản chất phi tuyến của mối quan hệ I–P trong ba bối cảnh quốc gia (Việt Nam, Singapore, Trung Quốc), bao gồm xác định điểm ngoặt ước lượng và kiểm định độ bền theo thời gian.</w:t>
      </w:r>
    </w:p>
    <w:p>
      <w:pPr>
        <w:ind w:firstLine="720"/>
        <w:lnSpc>
          <w:lnSpcVal w:type="auto" w:val="288"/>
        </w:lnSpc>
      </w:pPr>
      <w:r>
        <w:rPr>
          <w:rFonts w:ascii="Times New Roman" w:hAnsi="Times New Roman"/>
          <w:b w:val="0"/>
          <w:i w:val="0"/>
          <w:sz w:val="24"/>
        </w:rPr>
        <w:t>Mục tiêu 2 là đánh giá vai trò của năng lực công nghệ (TCI) trong mối quan hệ I–P — cụ thể là liệu TCI hoạt động như một yếu tố dịch chuyển mức năng suất (level-shifter) hay như một biến điều tiết hình dạng đường cong I–P trong từng bối cảnh.</w:t>
      </w:r>
    </w:p>
    <w:p>
      <w:pPr>
        <w:ind w:firstLine="720"/>
        <w:lnSpc>
          <w:lnSpcVal w:type="auto" w:val="288"/>
        </w:lnSpc>
      </w:pPr>
      <w:r>
        <w:rPr>
          <w:rFonts w:ascii="Times New Roman" w:hAnsi="Times New Roman"/>
          <w:b w:val="0"/>
          <w:i w:val="0"/>
          <w:sz w:val="24"/>
        </w:rPr>
        <w:t>Mục tiêu 3 là đánh giá vai trò của chấp nhận kỹ thuật số nền tảng (DAI) trong mối quan hệ I–P — cụ thể là liệu DAI có tạo ra lợi thế năng suất đồng đều hay chỉ là nguồn lực bổ sung có điều kiện phụ thuộc vào giai đoạn quốc tế hóa và trình độ hạ tầng số.</w:t>
      </w:r>
    </w:p>
    <w:p>
      <w:pPr>
        <w:pStyle w:val="Heading2"/>
        <w:lnSpc>
          <w:lnSpcVal w:type="auto" w:val="288"/>
        </w:lnSpc>
      </w:pPr>
      <w:r>
        <w:rPr>
          <w:rFonts w:ascii="Times New Roman" w:hAnsi="Times New Roman"/>
        </w:rPr>
        <w:t>1.3 Nội dung chuyên đề</w:t>
      </w:r>
    </w:p>
    <w:p>
      <w:pPr>
        <w:ind w:firstLine="720"/>
        <w:lnSpc>
          <w:lnSpcVal w:type="auto" w:val="288"/>
        </w:lnSpc>
      </w:pPr>
      <w:r>
        <w:rPr>
          <w:rFonts w:ascii="Times New Roman" w:hAnsi="Times New Roman"/>
          <w:b w:val="0"/>
          <w:i w:val="0"/>
          <w:sz w:val="24"/>
        </w:rPr>
        <w:t>Chuyên đề được cấu trúc thành bốn phần chính. Phần 1 trình bày bối cảnh, mục tiêu, phạm vi và ý nghĩa khoa học của chuyên đề. Phần 2 mô tả phương pháp nghiên cứu chung được chia sẻ bởi ba bài báo, bao gồm dữ liệu, đo lường biến số và chiến lược ước lượng. Phần 3 trình bày chi tiết kết quả và thảo luận từng bài báo, được tổ chức theo thứ tự Việt Nam, Singapore và Trung Quốc. Phần 4 tổng hợp kết luận xuyên suốt, đóng góp lý thuyết, hàm ý quản lý và hướng nghiên cứu tiếp theo. Tài liệu tham khảo được gộp từ cả ba bài báo và sắp xếp theo thứ tự bảng chữ cái APA lần thứ bảy.</w:t>
      </w:r>
    </w:p>
    <w:p>
      <w:pPr>
        <w:pStyle w:val="Heading2"/>
        <w:lnSpc>
          <w:lnSpcVal w:type="auto" w:val="288"/>
        </w:lnSpc>
      </w:pPr>
      <w:r>
        <w:rPr>
          <w:rFonts w:ascii="Times New Roman" w:hAnsi="Times New Roman"/>
        </w:rPr>
        <w:t>1.4 Giới hạn nghiên cứu</w:t>
      </w:r>
    </w:p>
    <w:p>
      <w:pPr>
        <w:ind w:firstLine="720"/>
        <w:lnSpc>
          <w:lnSpcVal w:type="auto" w:val="288"/>
        </w:lnSpc>
      </w:pPr>
      <w:r>
        <w:rPr>
          <w:rFonts w:ascii="Times New Roman" w:hAnsi="Times New Roman"/>
          <w:b w:val="0"/>
          <w:i w:val="0"/>
          <w:sz w:val="24"/>
        </w:rPr>
        <w:t>Chuyên đề có một số giới hạn quan trọng xuất phát từ đặc điểm dữ liệu và thiết kế nghiên cứu của từng bài báo gốc. Thứ nhất, dữ liệu WBES là các mặt cắt ngang lặp lại (repeated cross-sections) chứ không phải dữ liệu bảng (panel data) ở cấp doanh nghiệp, do đó không thể kiểm soát đặc điểm không quan sát được bất biến theo thời gian của từng doanh nghiệp. Ngôn ngữ phân tích trong toàn bộ chuyên đề là ngôn ngữ tương quan (associational), không phải nhân quả.</w:t>
      </w:r>
    </w:p>
    <w:p>
      <w:pPr>
        <w:ind w:firstLine="720"/>
        <w:lnSpc>
          <w:lnSpcVal w:type="auto" w:val="288"/>
        </w:lnSpc>
      </w:pPr>
      <w:r>
        <w:rPr>
          <w:rFonts w:ascii="Times New Roman" w:hAnsi="Times New Roman"/>
          <w:b w:val="0"/>
          <w:i w:val="0"/>
          <w:sz w:val="24"/>
        </w:rPr>
        <w:t>Thứ hai, biến DAI trong các bài báo chủ yếu dừng ở lớp Tier 1–2 theo phân cấp của Verhoef và cộng sự (2021) — đại diện website và thanh toán điện tử cơ bản — không nắm bắt được năng lực số hóa sâu ở cấp tổ chức (Tier 3–4). Điều này hạn chế khả năng tổng quát hóa sang các doanh nghiệp đã tích hợp số hóa ở cấp cao hơn.</w:t>
      </w:r>
    </w:p>
    <w:p>
      <w:pPr>
        <w:ind w:firstLine="720"/>
        <w:lnSpc>
          <w:lnSpcVal w:type="auto" w:val="288"/>
        </w:lnSpc>
      </w:pPr>
      <w:r>
        <w:rPr>
          <w:rFonts w:ascii="Times New Roman" w:hAnsi="Times New Roman"/>
          <w:b w:val="0"/>
          <w:i w:val="0"/>
          <w:sz w:val="24"/>
        </w:rPr>
        <w:t>Thứ ba, phạm vi địa lý của từng bài báo bị giới hạn ở một quốc gia và một giai đoạn thời gian cụ thể, do đó tổng hợp xuyên bối cảnh trong chuyên đề phải được đọc như so sánh bối cảnh song song, không phải thiết kế đa quốc gia đồng nhất.</w:t>
      </w:r>
    </w:p>
    <w:p>
      <w:pPr>
        <w:pStyle w:val="Heading2"/>
        <w:lnSpc>
          <w:lnSpcVal w:type="auto" w:val="288"/>
        </w:lnSpc>
      </w:pPr>
      <w:r>
        <w:rPr>
          <w:rFonts w:ascii="Times New Roman" w:hAnsi="Times New Roman"/>
        </w:rPr>
        <w:t>1.5 Ý nghĩa khoa học</w:t>
      </w:r>
    </w:p>
    <w:p>
      <w:pPr>
        <w:ind w:firstLine="720"/>
        <w:lnSpc>
          <w:lnSpcVal w:type="auto" w:val="288"/>
        </w:lnSpc>
      </w:pPr>
      <w:r>
        <w:rPr>
          <w:rFonts w:ascii="Times New Roman" w:hAnsi="Times New Roman"/>
          <w:b w:val="0"/>
          <w:i w:val="0"/>
          <w:sz w:val="24"/>
        </w:rPr>
        <w:t>Chuyên đề đóng góp vào khoa học ở ba cấp độ. Về lý thuyết, chuyên đề làm rõ sự phân biệt giữa TCI và DAI như hai cấu trúc lý thuyết không tương đương — TCI gắn với truyền thống năng lực công nghệ Lall (1992) và năng lực hấp thụ Cohen–Levinthal (1990), trong khi DAI gắn với truyền thống số hóa Bharadwaj và cộng sự (2013) và Verhoef và cộng sự (2021). Việc phân tách này cho phép kiểm tra các cơ chế hiệu suất khác biệt thay vì gộp chung vào một biến đại diện duy nhất.</w:t>
      </w:r>
    </w:p>
    <w:p>
      <w:pPr>
        <w:ind w:firstLine="720"/>
        <w:lnSpc>
          <w:lnSpcVal w:type="auto" w:val="288"/>
        </w:lnSpc>
      </w:pPr>
      <w:r>
        <w:rPr>
          <w:rFonts w:ascii="Times New Roman" w:hAnsi="Times New Roman"/>
          <w:b w:val="0"/>
          <w:i w:val="0"/>
          <w:sz w:val="24"/>
        </w:rPr>
        <w:t>Về phương pháp, chuyên đề thể hiện cách tiếp cận phân tích chặt chẽ bao gồm kiểm định Lind–Mehlum đối với tính phi tuyến, kiểm định Paternoster đối với ổn định hệ số xuyên làn sóng, ghép cặp điểm xu hướng (PSM), biến công cụ (2SLS) và giới hạn Oster (2019) đối với tính bền vững.</w:t>
      </w:r>
    </w:p>
    <w:p>
      <w:pPr>
        <w:ind w:firstLine="720"/>
        <w:lnSpc>
          <w:lnSpcVal w:type="auto" w:val="288"/>
        </w:lnSpc>
      </w:pPr>
      <w:r>
        <w:rPr>
          <w:rFonts w:ascii="Times New Roman" w:hAnsi="Times New Roman"/>
          <w:b w:val="0"/>
          <w:i w:val="0"/>
          <w:sz w:val="24"/>
        </w:rPr>
        <w:t>Về chính sách và quản lý, chuyên đề gợi ý rằng các chương trình hỗ trợ xuất khẩu và số hóa cần được căn chỉnh theo giai đoạn chuyển đổi số và năng lực hấp thụ của doanh nghiệp, thay vì áp dụng một giải pháp đồng nhất cho mọi đối tượng.</w:t>
      </w:r>
    </w:p>
    <w:p>
      <w:r>
        <w:br w:type="page"/>
      </w:r>
    </w:p>
    <w:p>
      <w:pPr>
        <w:pStyle w:val="Heading1"/>
        <w:lnSpc>
          <w:lnSpcVal w:type="auto" w:val="288"/>
        </w:lnSpc>
      </w:pPr>
      <w:r>
        <w:rPr>
          <w:rFonts w:ascii="Times New Roman" w:hAnsi="Times New Roman"/>
        </w:rPr>
        <w:t>PHẦN 2: PHƯƠNG PHÁP NGHIÊN CỨU</w:t>
      </w:r>
    </w:p>
    <w:p>
      <w:pPr>
        <w:pStyle w:val="Heading2"/>
        <w:lnSpc>
          <w:lnSpcVal w:type="auto" w:val="288"/>
        </w:lnSpc>
      </w:pPr>
      <w:r>
        <w:rPr>
          <w:rFonts w:ascii="Times New Roman" w:hAnsi="Times New Roman"/>
        </w:rPr>
        <w:t>2.1 Dữ liệu và mẫu</w:t>
      </w:r>
    </w:p>
    <w:p>
      <w:pPr>
        <w:ind w:firstLine="720"/>
        <w:lnSpc>
          <w:lnSpcVal w:type="auto" w:val="288"/>
        </w:lnSpc>
      </w:pPr>
      <w:r>
        <w:rPr>
          <w:rFonts w:ascii="Times New Roman" w:hAnsi="Times New Roman"/>
          <w:b w:val="0"/>
          <w:i w:val="0"/>
          <w:sz w:val="24"/>
        </w:rPr>
        <w:t>Ba bài báo đều sử dụng dữ liệu từ Khảo sát Doanh nghiệp Ngân hàng Thế giới (World Bank Enterprise Survey – WBES), một nguồn dữ liệu vi mô chuẩn hóa được thu thập theo phương pháp ngẫu nhiên phân tầng trên hàng trăm quốc gia. WBES cung cấp thông tin cấp doanh nghiệp về năng suất, doanh thu xuất khẩu, lao động, quyền sở hữu, ngành nghề và nhiều chỉ số công nghệ và số hóa.</w:t>
      </w:r>
    </w:p>
    <w:p>
      <w:pPr>
        <w:ind w:firstLine="720"/>
        <w:lnSpc>
          <w:lnSpcVal w:type="auto" w:val="288"/>
        </w:lnSpc>
      </w:pPr>
      <w:r>
        <w:rPr>
          <w:rFonts w:ascii="Times New Roman" w:hAnsi="Times New Roman"/>
          <w:b w:val="0"/>
          <w:i w:val="0"/>
          <w:sz w:val="24"/>
        </w:rPr>
        <w:t>Bài báo 1 (Việt Nam) sử dụng ba làn sóng: 2009 (N = 989), 2015 (N = 956) và 2023 (N = 1.013), với cỡ mẫu gộp N = 2.958 doanh nghiệp. Bài báo 2 (Singapore) sử dụng làn sóng 2023 (N = 623 sau khi áp dụng loại bỏ danh sách theo biến số focal). Bài báo 3 (Trung Quốc) sử dụng hai làn sóng: 2012 (N = 2.610) và 2024 (N = 1.934), tổng cỡ mẫu gộp N = 4.544.</w:t>
      </w:r>
    </w:p>
    <w:p>
      <w:pPr>
        <w:ind w:firstLine="720"/>
        <w:lnSpc>
          <w:lnSpcVal w:type="auto" w:val="288"/>
        </w:lnSpc>
      </w:pPr>
      <w:r>
        <w:rPr>
          <w:rFonts w:ascii="Times New Roman" w:hAnsi="Times New Roman"/>
          <w:b w:val="0"/>
          <w:i w:val="0"/>
          <w:sz w:val="24"/>
        </w:rPr>
        <w:t>Quy trình xây dựng mẫu phân tích đồng nhất ở cả ba bài báo: (i) loại bỏ các quan sát có mã phản hồi không hợp lệ (−9 = không biết/từ chối) trên tập biến số focal; (ii) áp dụng loại bỏ danh sách (listwise deletion) trên tập biến kiểm soát và biến trung tâm; (iii) chuẩn hóa z trong từng làn sóng đối với TCI và DAI để hệ số hồi quy có thể so sánh được về độ lớn.</w:t>
      </w:r>
    </w:p>
    <w:p>
      <w:pPr>
        <w:ind w:firstLine="720"/>
        <w:lnSpc>
          <w:lnSpcVal w:type="auto" w:val="288"/>
        </w:lnSpc>
      </w:pPr>
      <w:r>
        <w:rPr>
          <w:rFonts w:ascii="Times New Roman" w:hAnsi="Times New Roman"/>
          <w:b w:val="0"/>
          <w:i w:val="0"/>
          <w:sz w:val="24"/>
        </w:rPr>
        <w:t>[Bảng 1.1: Tổng quan ba bài báo nghiên cứu]</w:t>
      </w:r>
    </w:p>
    <w:p>
      <w:pPr>
        <w:pStyle w:val="Heading2"/>
        <w:lnSpc>
          <w:lnSpcVal w:type="auto" w:val="288"/>
        </w:lnSpc>
      </w:pPr>
      <w:r>
        <w:rPr>
          <w:rFonts w:ascii="Times New Roman" w:hAnsi="Times New Roman"/>
        </w:rPr>
        <w:t>2.2 Đo lường các biến</w:t>
      </w:r>
    </w:p>
    <w:p>
      <w:pPr>
        <w:ind w:firstLine="720"/>
        <w:lnSpc>
          <w:lnSpcVal w:type="auto" w:val="288"/>
        </w:lnSpc>
      </w:pPr>
      <w:r>
        <w:rPr>
          <w:rFonts w:ascii="Times New Roman" w:hAnsi="Times New Roman"/>
          <w:b w:val="0"/>
          <w:i w:val="0"/>
          <w:sz w:val="24"/>
        </w:rPr>
        <w:t>Biến phụ thuộc trong cả ba bài báo là năng suất lao động theo logarithm (lnLP = ln(doanh thu hàng năm / số lao động thường xuyên)).</w:t>
      </w:r>
    </w:p>
    <w:p>
      <w:pPr>
        <w:ind w:firstLine="720"/>
        <w:lnSpc>
          <w:lnSpcVal w:type="auto" w:val="288"/>
        </w:lnSpc>
      </w:pPr>
      <w:r>
        <w:rPr>
          <w:rFonts w:ascii="Times New Roman" w:hAnsi="Times New Roman"/>
          <w:b w:val="0"/>
          <w:i w:val="0"/>
          <w:sz w:val="24"/>
        </w:rPr>
        <w:t>Biến độc lập chính là cường độ xuất khẩu (FSTS — tỷ lệ doanh thu xuất khẩu/tổng doanh thu), được căn chỉnh trung bình theo làn sóng (FSTS_c) và bình phương (FSTS_c²) để kiểm định phi tuyến. Mối quan hệ phi tuyến được kiểm tra bằng cách đưa cả FSTS_c và FSTS_c² vào mô hình đồng thời, với kỳ vọng hệ số của FSTS_c dương và FSTS_c² âm.</w:t>
      </w:r>
    </w:p>
    <w:p>
      <w:pPr>
        <w:ind w:firstLine="720"/>
        <w:lnSpc>
          <w:lnSpcVal w:type="auto" w:val="288"/>
        </w:lnSpc>
      </w:pPr>
      <w:r>
        <w:rPr>
          <w:rFonts w:ascii="Times New Roman" w:hAnsi="Times New Roman"/>
          <w:b w:val="0"/>
          <w:i w:val="0"/>
          <w:sz w:val="24"/>
        </w:rPr>
        <w:t>Chỉ số năng lực công nghệ (TCI_z) được xây dựng từ hai chỉ báo WBES: chứng nhận chất lượng quốc tế (b8) và công nghệ ngoại nhập được cấp phép (e6). Đây là thước đo năng lực công nghệ–tiêu chuẩn hướng ngoại, phản ánh khả năng của doanh nghiệp trong việc tiếp cận và hấp thụ công nghệ nước ngoài.</w:t>
      </w:r>
    </w:p>
    <w:p>
      <w:pPr>
        <w:ind w:firstLine="720"/>
        <w:lnSpc>
          <w:lnSpcVal w:type="auto" w:val="288"/>
        </w:lnSpc>
      </w:pPr>
      <w:r>
        <w:rPr>
          <w:rFonts w:ascii="Times New Roman" w:hAnsi="Times New Roman"/>
          <w:b w:val="0"/>
          <w:i w:val="0"/>
          <w:sz w:val="24"/>
        </w:rPr>
        <w:t>Chỉ số chấp nhận kỹ thuật số (DAI_z) được xây dựng khác nhau theo từng bài báo tùy theo tính sẵn có của dữ liệu: tại Việt Nam, DAI_z chỉ gồm chỉ báo sở hữu website (c22b) nhất quán xuyên ba làn sóng; tại Singapore (2023), DAI được mở rộng gồm website, tỷ lệ nhận thanh toán điện tử (k33) và tỷ lệ thanh toán nhà cung cấp qua điện tử (k38); tại Trung Quốc, DAI được giữ ở lớp Tier 1 với chỉ báo website để đảm bảo tính nhất quán xuyên làn sóng.</w:t>
      </w:r>
    </w:p>
    <w:p>
      <w:pPr>
        <w:ind w:firstLine="720"/>
        <w:lnSpc>
          <w:lnSpcVal w:type="auto" w:val="288"/>
        </w:lnSpc>
      </w:pPr>
      <w:r>
        <w:rPr>
          <w:rFonts w:ascii="Times New Roman" w:hAnsi="Times New Roman"/>
          <w:b w:val="0"/>
          <w:i w:val="0"/>
          <w:sz w:val="24"/>
        </w:rPr>
        <w:t>Biến kiểm soát chuẩn gồm: quy mô doanh nghiệp (lnEmp = log số lao động thường xuyên), tuổi doanh nghiệp (FirmAge = năm khảo sát − năm thành lập), sở hữu nước ngoài (ForeignOwned = 1 nếu vốn nước ngoài &gt; 0%), và hiệu ứng cố định ngành (sector fixed effects theo mã ISIC một chữ số).</w:t>
      </w:r>
    </w:p>
    <w:p>
      <w:pPr>
        <w:ind w:firstLine="720"/>
        <w:lnSpc>
          <w:lnSpcVal w:type="auto" w:val="288"/>
        </w:lnSpc>
      </w:pPr>
      <w:r>
        <w:rPr>
          <w:rFonts w:ascii="Times New Roman" w:hAnsi="Times New Roman"/>
          <w:b w:val="0"/>
          <w:i w:val="0"/>
          <w:sz w:val="24"/>
        </w:rPr>
        <w:t>[Bảng 2.1: Mô tả biến số và nguồn dữ liệu]</w:t>
      </w:r>
    </w:p>
    <w:p>
      <w:pPr>
        <w:pStyle w:val="Heading2"/>
        <w:lnSpc>
          <w:lnSpcVal w:type="auto" w:val="288"/>
        </w:lnSpc>
      </w:pPr>
      <w:r>
        <w:rPr>
          <w:rFonts w:ascii="Times New Roman" w:hAnsi="Times New Roman"/>
        </w:rPr>
        <w:t>2.3 Phương pháp ước lượng</w:t>
      </w:r>
    </w:p>
    <w:p>
      <w:pPr>
        <w:ind w:firstLine="720"/>
        <w:lnSpc>
          <w:lnSpcVal w:type="auto" w:val="288"/>
        </w:lnSpc>
      </w:pPr>
      <w:r>
        <w:rPr>
          <w:rFonts w:ascii="Times New Roman" w:hAnsi="Times New Roman"/>
          <w:b w:val="0"/>
          <w:i w:val="0"/>
          <w:sz w:val="24"/>
        </w:rPr>
        <w:t>Ba bài báo đều áp dụng chuỗi mô hình hồi quy lồng nhau (nested OLS) theo trình tự chuẩn với sai số chuẩn HC1 (MacKinnon và White, 1985) để điều chỉnh phương sai không đồng đều.</w:t>
      </w:r>
    </w:p>
    <w:p>
      <w:pPr>
        <w:ind w:firstLine="720"/>
        <w:lnSpc>
          <w:lnSpcVal w:type="auto" w:val="288"/>
        </w:lnSpc>
      </w:pPr>
      <w:r>
        <w:rPr>
          <w:rFonts w:ascii="Times New Roman" w:hAnsi="Times New Roman"/>
          <w:b w:val="0"/>
          <w:i w:val="0"/>
          <w:sz w:val="24"/>
        </w:rPr>
        <w:t>Chuỗi mô hình bắt đầu từ mô hình kiểm soát thuần túy (M0), tiếp theo là mô hình tuyến tính FSTS (M1), mô hình phi tuyến với cả FSTS_c và FSTS_c² (M2), các mô hình hiệu ứng trực tiếp của TCI và DAI (M3–M6), mô hình song song TCI+DAI (M7), và mô hình đầy đủ với các tương tác điều tiết (M8). Thiết kế này tách biệt ba câu hỏi phân tích: (1) mối quan hệ I–P có phi tuyến không? (2) TCI và DAI có hiệu ứng trực tiếp lên năng suất không? (3) DAI có điều tiết đường cong I–P theo giai đoạn xuất khẩu không?</w:t>
      </w:r>
    </w:p>
    <w:p>
      <w:pPr>
        <w:ind w:firstLine="720"/>
        <w:lnSpc>
          <w:lnSpcVal w:type="auto" w:val="288"/>
        </w:lnSpc>
      </w:pPr>
      <w:r>
        <w:rPr>
          <w:rFonts w:ascii="Times New Roman" w:hAnsi="Times New Roman"/>
          <w:b w:val="0"/>
          <w:i w:val="0"/>
          <w:sz w:val="24"/>
        </w:rPr>
        <w:t>Tính phi tuyến được kiểm định chính thức bằng kiểm định Lind–Mehlum (2010) đối với hình chữ U ngược, kiểm tra liệu cả hai đầu của dãy FSTS đều dưới điểm ngoặt ước lượng hay không. Sự ổn định của hệ số xuyên làn sóng được kiểm tra bằng kiểm định z của Paternoster và cộng sự (1998). Tính bền vững được đánh giá thông qua ghép cặp điểm xu hướng (PSM — Rosenbaum và Rubin, 1983), biến công cụ (2SLS), loại bỏ doanh nghiệp siêu nhỏ, tách mẫu theo ngành, và giới hạn Oster (2019) đối với lựa chọn trên biến không quan sát được.</w:t>
      </w:r>
    </w:p>
    <w:p>
      <w:r>
        <w:br w:type="page"/>
      </w:r>
    </w:p>
    <w:p>
      <w:pPr>
        <w:pStyle w:val="Heading1"/>
        <w:lnSpc>
          <w:lnSpcVal w:type="auto" w:val="288"/>
        </w:lnSpc>
      </w:pPr>
      <w:r>
        <w:rPr>
          <w:rFonts w:ascii="Times New Roman" w:hAnsi="Times New Roman"/>
        </w:rPr>
        <w:t>PHẦN 3: KẾT QUẢ VÀ THẢO LUẬN</w:t>
      </w:r>
    </w:p>
    <w:p>
      <w:pPr>
        <w:pStyle w:val="Heading2"/>
        <w:lnSpc>
          <w:lnSpcVal w:type="auto" w:val="288"/>
        </w:lnSpc>
      </w:pPr>
      <w:r>
        <w:rPr>
          <w:rFonts w:ascii="Times New Roman" w:hAnsi="Times New Roman"/>
        </w:rPr>
        <w:t>3.1 Bài báo 1 – Việt Nam</w:t>
      </w:r>
    </w:p>
    <w:p>
      <w:pPr>
        <w:pStyle w:val="Heading3"/>
        <w:lnSpc>
          <w:lnSpcVal w:type="auto" w:val="288"/>
        </w:lnSpc>
      </w:pPr>
      <w:r>
        <w:rPr>
          <w:rFonts w:ascii="Times New Roman" w:hAnsi="Times New Roman"/>
        </w:rPr>
        <w:t>3.1.1 Bối cảnh và câu hỏi nghiên cứu</w:t>
      </w:r>
    </w:p>
    <w:p>
      <w:pPr>
        <w:ind w:firstLine="720"/>
        <w:lnSpc>
          <w:lnSpcVal w:type="auto" w:val="288"/>
        </w:lnSpc>
      </w:pPr>
      <w:r>
        <w:rPr>
          <w:rFonts w:ascii="Times New Roman" w:hAnsi="Times New Roman"/>
          <w:b w:val="0"/>
          <w:i w:val="0"/>
          <w:sz w:val="24"/>
        </w:rPr>
        <w:t>Bài báo về Việt Nam có tiêu đề "Revisiting the Internationalisation–Performance Relationship in an Emerging Market: The Roles of Technological Capability and Foundational Digital Adoption" tập trung phân tích mối quan hệ I–P trong bối cảnh một nền kinh tế đang chuyển đổi thể chế và hạ tầng số theo ba giai đoạn rõ rệt.</w:t>
      </w:r>
    </w:p>
    <w:p>
      <w:pPr>
        <w:ind w:firstLine="720"/>
        <w:lnSpc>
          <w:lnSpcVal w:type="auto" w:val="288"/>
        </w:lnSpc>
      </w:pPr>
      <w:r>
        <w:rPr>
          <w:rFonts w:ascii="Times New Roman" w:hAnsi="Times New Roman"/>
          <w:b w:val="0"/>
          <w:i w:val="0"/>
          <w:sz w:val="24"/>
        </w:rPr>
        <w:t>Việt Nam là bối cảnh phân tích đặc biệt có giá trị vì đây là nền kinh tế vừa trải qua quá trình gia nhập Tổ chức Thương mại Thế giới (WTO) năm 2007, vừa chứng kiến sự mở rộng xuất khẩu sản xuất giai đoạn 2009–2015, và vừa bước vào giai đoạn số hóa sau khi ban hành Chương trình Chuyển đổi số Quốc gia (NDTP) năm 2020. Ba làn sóng WBES năm 2009, 2015 và 2023 tương ứng với ba giai đoạn thể chế khác biệt này, cho phép kiểm tra liệu mô hình I–P và vai trò của TCI/DAI có thay đổi theo giai đoạn chuyển đổi hay không.</w:t>
      </w:r>
    </w:p>
    <w:p>
      <w:pPr>
        <w:ind w:firstLine="720"/>
        <w:lnSpc>
          <w:lnSpcVal w:type="auto" w:val="288"/>
        </w:lnSpc>
      </w:pPr>
      <w:r>
        <w:rPr>
          <w:rFonts w:ascii="Times New Roman" w:hAnsi="Times New Roman"/>
          <w:b w:val="0"/>
          <w:i w:val="0"/>
          <w:sz w:val="24"/>
        </w:rPr>
        <w:t>Bốn câu hỏi nghiên cứu trung tâm được xây dựng như sau: H1 – Mối quan hệ I–P tại Việt Nam có dạng phi tuyến (hình chữ U ngược) không, và cấu trúc tham gia–cường độ (participation–intensity) đóng vai trò gì? H2 – Năng lực công nghệ–tiêu chuẩn ngoại (TCI_z) có mối liên hệ dương với năng suất không? H3 – Sự hiện diện kỹ thuật số nền tảng qua website (DAI_z) có mối liên hệ dương trung bình với năng suất không? H4 (thăm dò) – Mức độ liên quan của DAI đối với năng suất có thay đổi theo giai đoạn quốc tế hóa và chuyển đổi thể chế không?</w:t>
      </w:r>
    </w:p>
    <w:p>
      <w:pPr>
        <w:ind w:firstLine="720"/>
        <w:lnSpc>
          <w:lnSpcVal w:type="auto" w:val="288"/>
        </w:lnSpc>
      </w:pPr>
      <w:r>
        <w:rPr>
          <w:rFonts w:ascii="Times New Roman" w:hAnsi="Times New Roman"/>
          <w:b w:val="0"/>
          <w:i w:val="0"/>
          <w:sz w:val="24"/>
        </w:rPr>
        <w:t>Điểm đáng chú ý trong thiết kế nghiên cứu là TCI_z được xây dựng từ hai chỉ báo không trùng lặp với DAI_z: TCI_z đại diện bằng chứng nhận chất lượng quốc tế và công nghệ ngoại nhập, trong khi DAI_z chỉ dùng website (c22b). Sự phân tách này đảm bảo tính rõ ràng của cấu trúc và loại bỏ khả năng trùng lắp mục (item contamination).</w:t>
      </w:r>
    </w:p>
    <w:p>
      <w:pPr>
        <w:pStyle w:val="Heading3"/>
        <w:lnSpc>
          <w:lnSpcVal w:type="auto" w:val="288"/>
        </w:lnSpc>
      </w:pPr>
      <w:r>
        <w:rPr>
          <w:rFonts w:ascii="Times New Roman" w:hAnsi="Times New Roman"/>
        </w:rPr>
        <w:t>3.1.2 Kết quả chính</w:t>
      </w:r>
    </w:p>
    <w:p>
      <w:pPr>
        <w:ind w:firstLine="720"/>
        <w:lnSpc>
          <w:lnSpcVal w:type="auto" w:val="288"/>
        </w:lnSpc>
      </w:pPr>
      <w:r>
        <w:rPr>
          <w:rFonts w:ascii="Times New Roman" w:hAnsi="Times New Roman"/>
          <w:b w:val="0"/>
          <w:i w:val="0"/>
          <w:sz w:val="24"/>
        </w:rPr>
        <w:t>Mối quan hệ I–P tại Việt Nam được xác nhận là phi tuyến dạng hình chữ U ngược trong cả ba làn sóng và mẫu gộp. Kiểm định Lind–Mehlum bác bỏ tính đơn điệu (monotonicity) với p = 0,006 (2009), p = 0,009 (2015), p = 0,013 (2023) và p &lt; 0,001 (gộp). Điểm ngoặt ước lượng dao động trong phạm vi hẹp từ 39% đến 46% FSTS: cụ thể là 46,2% năm 2009 (CI: [37,4%; 55,1%]), 39,3% năm 2015 (CI: [30,3%; 48,4%]), 41,6% năm 2023 (CI: [31,7%; 51,5%]) và 39,7% trong mẫu gộp (CI: [34,0%; 45,5%]).</w:t>
      </w:r>
    </w:p>
    <w:p>
      <w:pPr>
        <w:ind w:firstLine="720"/>
        <w:lnSpc>
          <w:lnSpcVal w:type="auto" w:val="288"/>
        </w:lnSpc>
      </w:pPr>
      <w:r>
        <w:rPr>
          <w:rFonts w:ascii="Times New Roman" w:hAnsi="Times New Roman"/>
          <w:b w:val="0"/>
          <w:i w:val="0"/>
          <w:sz w:val="24"/>
        </w:rPr>
        <w:t>[Bảng 3.1: Thống kê mô tả mẫu nghiên cứu – Việt Nam (3 làn sóng)]</w:t>
      </w:r>
    </w:p>
    <w:p>
      <w:pPr>
        <w:ind w:firstLine="720"/>
        <w:lnSpc>
          <w:lnSpcVal w:type="auto" w:val="288"/>
        </w:lnSpc>
      </w:pPr>
      <w:r>
        <w:rPr>
          <w:rFonts w:ascii="Times New Roman" w:hAnsi="Times New Roman"/>
          <w:b w:val="0"/>
          <w:i w:val="0"/>
          <w:sz w:val="24"/>
        </w:rPr>
        <w:t>Một phát hiện quan trọng liên quan đến cấu trúc của mối quan hệ I–P là: điểm ngoặt được xác định chủ yếu thông qua biên tham gia (participation margin — bước chuyển từ FSTS = 0 sang FSTS &gt; 0) chứ không phải qua biến thiên cường độ trong nội bộ nhóm xuất khẩu (intensity margin within exporters). Tỷ lệ doanh nghiệp có FSTS trong vòng ±5 điểm phần trăm của điểm ngoặt chỉ chiếm 1,0% mẫu gộp. Khi mô hình được ước lượng lại chỉ trên mẫu xuất khẩu (FSTS &gt; 0, N gộp = 669), hệ số bậc hai FSTS_c² trở nên không có ý nghĩa thống kê (β = −0,200, p = 0,660).</w:t>
      </w:r>
    </w:p>
    <w:p>
      <w:pPr>
        <w:ind w:firstLine="720"/>
        <w:lnSpc>
          <w:lnSpcVal w:type="auto" w:val="288"/>
        </w:lnSpc>
      </w:pPr>
      <w:r>
        <w:rPr>
          <w:rFonts w:ascii="Times New Roman" w:hAnsi="Times New Roman"/>
          <w:b w:val="0"/>
          <w:i w:val="0"/>
          <w:sz w:val="24"/>
        </w:rPr>
        <w:t>Năng lực công nghệ (TCI_z) có mối liên hệ dương và nhất quán với năng suất trong cả ba làn sóng và mẫu gộp. Hệ số TCI_z trong mô hình M7 là 0,215 (p &lt; 0,001) năm 2009, 0,128 (p = 0,010) năm 2015, 0,123 (p = 0,006) năm 2023 và 0,179 (p &lt; 0,001) trong mẫu gộp. TCI_z cũng điều tiết đường cong I–P trong ba trong bốn bảng phân tích (kiểm định joint M3: p = 0,040 năm 2009; p = 0,713 năm 2015; p = 0,027 năm 2023; p = 0,003 gộp), với dấu âm của tương tác FSTS_c × TCI_z (β_pooled = −0,587, p = 0,003) cho thấy doanh nghiệp có năng lực cao hơn duy trì lợi thế năng suất trên phạm vi cường độ xuất khẩu rộng hơn.</w:t>
      </w:r>
    </w:p>
    <w:p>
      <w:pPr>
        <w:ind w:firstLine="720"/>
        <w:lnSpc>
          <w:lnSpcVal w:type="auto" w:val="288"/>
        </w:lnSpc>
      </w:pPr>
      <w:r>
        <w:rPr>
          <w:rFonts w:ascii="Times New Roman" w:hAnsi="Times New Roman"/>
          <w:b w:val="0"/>
          <w:i w:val="0"/>
          <w:sz w:val="24"/>
        </w:rPr>
        <w:t>[Bảng 3.2: Tóm tắt hệ số hồi quy focal – Việt Nam theo làn sóng và gộp]</w:t>
      </w:r>
    </w:p>
    <w:p>
      <w:pPr>
        <w:ind w:firstLine="720"/>
        <w:lnSpc>
          <w:lnSpcVal w:type="auto" w:val="288"/>
        </w:lnSpc>
      </w:pPr>
      <w:r>
        <w:rPr>
          <w:rFonts w:ascii="Times New Roman" w:hAnsi="Times New Roman"/>
          <w:b w:val="0"/>
          <w:i w:val="0"/>
          <w:sz w:val="24"/>
        </w:rPr>
        <w:t>Chấp nhận kỹ thuật số nền tảng (DAI_z) thể hiện mô hình phi tuyến theo thời gian: mạnh năm 2009 (β = 0,175, p &lt; 0,001), triệt tiêu năm 2015 (β = −0,044, p = 0,377), và phục hồi một phần năm 2023 (β = 0,095, p = 0,038). Kiểm định z của Paternoster xác nhận sự dịch chuyển từ 2009 sang 2015 là đáng kể về mặt thống kê (z = 3,353, p &lt; 0,001), cũng như sự phục hồi từ 2015 sang 2023 (z = −2,051, p = 0,040). Hiệu ứng điều tiết của DAI chỉ xuất hiện rõ ràng năm 2023, khi tương tác FSTS_c × DAI_z có hệ số âm và có ý nghĩa (β = −0,912, p = 0,043), gợi ý rằng ở mức xuất khẩu cao, sự hiện diện website đơn thuần có thể khuếch đại gánh nặng phối hợp thay vì giảm bớt.</w:t>
      </w:r>
    </w:p>
    <w:p>
      <w:pPr>
        <w:ind w:firstLine="720"/>
        <w:lnSpc>
          <w:lnSpcVal w:type="auto" w:val="288"/>
        </w:lnSpc>
      </w:pPr>
      <w:r>
        <w:rPr>
          <w:rFonts w:ascii="Times New Roman" w:hAnsi="Times New Roman"/>
          <w:b w:val="0"/>
          <w:i w:val="0"/>
          <w:sz w:val="24"/>
        </w:rPr>
        <w:t>[Bảng 3.4: Điểm ngoặt ước lượng theo mô hình M2 – Việt Nam]</w:t>
      </w:r>
    </w:p>
    <w:p>
      <w:pPr>
        <w:pStyle w:val="Heading3"/>
        <w:lnSpc>
          <w:lnSpcVal w:type="auto" w:val="288"/>
        </w:lnSpc>
      </w:pPr>
      <w:r>
        <w:rPr>
          <w:rFonts w:ascii="Times New Roman" w:hAnsi="Times New Roman"/>
        </w:rPr>
        <w:t>3.1.3 Thảo luận</w:t>
      </w:r>
    </w:p>
    <w:p>
      <w:pPr>
        <w:ind w:firstLine="720"/>
        <w:lnSpc>
          <w:lnSpcVal w:type="auto" w:val="288"/>
        </w:lnSpc>
      </w:pPr>
      <w:r>
        <w:rPr>
          <w:rFonts w:ascii="Times New Roman" w:hAnsi="Times New Roman"/>
          <w:b w:val="0"/>
          <w:i w:val="0"/>
          <w:sz w:val="24"/>
        </w:rPr>
        <w:t>Kết quả tại Việt Nam dẫn đến ba luận điểm thảo luận quan trọng. Thứ nhất, mô hình hình chữ U ngược ổn định xuyên làn sóng nhưng chủ yếu phản ánh cấu trúc tham gia–cường độ. Điều này có nghĩa là lợi thế năng suất từ xuất khẩu tập trung ở bước chuyển từ không xuất khẩu sang có xuất khẩu, trong khi lợi thế gia tăng từ việc nâng cao cường độ xuất khẩu trong nội bộ nhóm xuất khẩu yếu hơn đáng kể. Cơ chế giải thích là chi phí giao dịch thể chế (Williamson, 1985; Hennart, 2007): trong nền kinh tế chuyển đổi như Việt Nam, các rào cản thể chế, thiếu hụt logistics và bất cân xứng thông tin đẩy chi phí biên của mỗi thị trường ngoài bổ sung lên cao hơn, khiến điểm ngoặt xuất hiện ở mức cường độ xuất khẩu thấp hơn so với các nền kinh tế đã trưởng thành về hạ tầng số.</w:t>
      </w:r>
    </w:p>
    <w:p>
      <w:pPr>
        <w:ind w:firstLine="720"/>
        <w:lnSpc>
          <w:lnSpcVal w:type="auto" w:val="288"/>
        </w:lnSpc>
      </w:pPr>
      <w:r>
        <w:rPr>
          <w:rFonts w:ascii="Times New Roman" w:hAnsi="Times New Roman"/>
          <w:b w:val="0"/>
          <w:i w:val="0"/>
          <w:sz w:val="24"/>
        </w:rPr>
        <w:t>Thứ hai, TCI_z hoạt động như một kênh năng lực bền vững và mạnh về tính nhận diện (identification-robust). Bằng chứng PSM xác nhận hiệu ứng điều trị trung bình (ATT) của chứng nhận chất lượng/công nghệ ngoại nhập là 0,61–0,64 (p &lt; 0,001). Bằng chứng 2SLS với biến công cụ peer-cell adoption cho hệ số TCI_z = 1,639 (p &lt; 0,001, F giai đoạn 1 = 22,1), tức là TCI_z sống sót qua cả ghép cặp và biến công cụ — điều mà DAI_z không làm được.</w:t>
      </w:r>
    </w:p>
    <w:p>
      <w:pPr>
        <w:ind w:firstLine="720"/>
        <w:lnSpc>
          <w:lnSpcVal w:type="auto" w:val="288"/>
        </w:lnSpc>
      </w:pPr>
      <w:r>
        <w:rPr>
          <w:rFonts w:ascii="Times New Roman" w:hAnsi="Times New Roman"/>
          <w:b w:val="0"/>
          <w:i w:val="0"/>
          <w:sz w:val="24"/>
        </w:rPr>
        <w:t>Thứ ba, DAI_z thể hiện tính giai đoạn phụ thuộc (stage contingency). Sự sụt giảm năm 2015 phản ánh giai đoạn chuyển tiếp hạ tầng số khi website không thể kết nối với hệ sinh thái giao dịch kỹ thuật số. Sự phục hồi năm 2023 trùng với sự trưởng thành của NDTP và các nền tảng thương mại điện tử xuyên biên giới. Một giải thích bổ sung là sự lỗi thời của proxy (proxy obsolescence): năm 2009, website là tín hiệu phân biệt trong thương mại quốc tế; đến năm 2023, website gần như là tiêu chuẩn tối thiểu, làm giảm nội dung thông tin của chỉ báo c22b. Hai giải thích này không loại trừ nhau và có thể vận hành đồng thời.</w:t>
      </w:r>
    </w:p>
    <w:p>
      <w:pPr>
        <w:ind w:firstLine="720"/>
        <w:lnSpc>
          <w:lnSpcVal w:type="auto" w:val="288"/>
        </w:lnSpc>
      </w:pPr>
      <w:r>
        <w:rPr>
          <w:rFonts w:ascii="Times New Roman" w:hAnsi="Times New Roman"/>
          <w:b w:val="0"/>
          <w:i w:val="0"/>
          <w:sz w:val="24"/>
        </w:rPr>
        <w:t>Về hàm ý quản lý, doanh nghiệp Việt Nam nên nhận thức rằng đầu tư vào công cụ số nền tảng (website, thanh toán điện tử cơ bản) mang lại lợi ích, nhưng lợi ích đó phụ thuộc vào việc các công cụ này được nhúng vào quy trình tổ chức phù hợp và hỗ trợ phối hợp xuất khẩu thực sự. Chính sách hỗ trợ xuất khẩu cũng nên tránh giả định rằng số hóa nền tảng tạo ra lợi thế năng suất đồng đều — lợi ích thực sự phụ thuộc vào giai đoạn chuyển đổi số và năng lực hấp thụ của doanh nghiệp.</w:t>
      </w:r>
    </w:p>
    <w:p>
      <w:pPr>
        <w:pStyle w:val="Heading2"/>
        <w:lnSpc>
          <w:lnSpcVal w:type="auto" w:val="288"/>
        </w:lnSpc>
      </w:pPr>
      <w:r>
        <w:rPr>
          <w:rFonts w:ascii="Times New Roman" w:hAnsi="Times New Roman"/>
        </w:rPr>
        <w:t>3.2 Bài báo 2 – Singapore</w:t>
      </w:r>
    </w:p>
    <w:p>
      <w:pPr>
        <w:pStyle w:val="Heading3"/>
        <w:lnSpc>
          <w:lnSpcVal w:type="auto" w:val="288"/>
        </w:lnSpc>
      </w:pPr>
      <w:r>
        <w:rPr>
          <w:rFonts w:ascii="Times New Roman" w:hAnsi="Times New Roman"/>
        </w:rPr>
        <w:t>3.2.1 Bối cảnh và câu hỏi nghiên cứu</w:t>
      </w:r>
    </w:p>
    <w:p>
      <w:pPr>
        <w:ind w:firstLine="720"/>
        <w:lnSpc>
          <w:lnSpcVal w:type="auto" w:val="288"/>
        </w:lnSpc>
      </w:pPr>
      <w:r>
        <w:rPr>
          <w:rFonts w:ascii="Times New Roman" w:hAnsi="Times New Roman"/>
          <w:b w:val="0"/>
          <w:i w:val="0"/>
          <w:sz w:val="24"/>
        </w:rPr>
        <w:t>Bài báo về Singapore có tiêu đề "Technological Capability, Digital Adoption, and the Internationalization–Performance Relationship: A Firm-Level Study of Singapore" đặt trong bối cảnh một nền kinh tế số hóa cao, nơi hạ tầng kỹ thuật số đã trưởng thành và phổ biến rộng rãi ở tầng doanh nghiệp.</w:t>
      </w:r>
    </w:p>
    <w:p>
      <w:pPr>
        <w:ind w:firstLine="720"/>
        <w:lnSpc>
          <w:lnSpcVal w:type="auto" w:val="288"/>
        </w:lnSpc>
      </w:pPr>
      <w:r>
        <w:rPr>
          <w:rFonts w:ascii="Times New Roman" w:hAnsi="Times New Roman"/>
          <w:b w:val="0"/>
          <w:i w:val="0"/>
          <w:sz w:val="24"/>
        </w:rPr>
        <w:t>Singapore được chọn làm bối cảnh vì hai lý do phân tích. Thứ nhất, đây là nền kinh tế đầu ra đối lập với Việt Nam về mặt trình độ số hóa — trong khi Việt Nam đang trong giai đoạn chuyển đổi số, Singapore đã có hạ tầng Tier 2–3 trưởng thành với tỷ lệ thâm nhập thanh toán điện tử cao. Sự đối lập này cho phép kiểm tra liệu cùng một mối quan hệ I–P có hành xử khác biệt khi phí tổn phối hợp số hóa đã được hệ sinh thái ngoài công ty hấp thụ một phần. Thứ hai, dữ liệu WBES Singapore 2023 (phương pháp B-READY) có mô-đun số hóa mở rộng bao gồm cả chỉ báo thanh toán điện tử (k33, k38), cho phép xây dựng DAI phong phú hơn so với chỉ website.</w:t>
      </w:r>
    </w:p>
    <w:p>
      <w:pPr>
        <w:ind w:firstLine="720"/>
        <w:lnSpc>
          <w:lnSpcVal w:type="auto" w:val="288"/>
        </w:lnSpc>
      </w:pPr>
      <w:r>
        <w:rPr>
          <w:rFonts w:ascii="Times New Roman" w:hAnsi="Times New Roman"/>
          <w:b w:val="0"/>
          <w:i w:val="0"/>
          <w:sz w:val="24"/>
        </w:rPr>
        <w:t>Bốn giả thuyết chính: H1 – TCI có mối liên hệ dương với năng suất; H3 – Mối liên hệ của DAI với năng suất có tính điều kiện thay vì đồng đều; H4 – Mối liên hệ giữa DAI và năng suất trở nên tích cực hơn ở mức cường độ xuất khẩu cao hơn. Không có giả thuyết chính thức về mối liên hệ đơn điệu âm phía bên phải đường cong I–P (giả thuyết hình chữ U ngược), vì mục tiêu là kiểm tra liệu mô hình phi tuyến có thể quan sát được trong dữ liệu Singapore hay không, thay vì tiên nghiệm rằng nó tồn tại.</w:t>
      </w:r>
    </w:p>
    <w:p>
      <w:pPr>
        <w:ind w:firstLine="720"/>
        <w:lnSpc>
          <w:lnSpcVal w:type="auto" w:val="288"/>
        </w:lnSpc>
      </w:pPr>
      <w:r>
        <w:rPr>
          <w:rFonts w:ascii="Times New Roman" w:hAnsi="Times New Roman"/>
          <w:b w:val="0"/>
          <w:i w:val="0"/>
          <w:sz w:val="24"/>
        </w:rPr>
        <w:t>Mẫu phân tích gồm 623 doanh nghiệp (617 khi có DAI đầy đủ), chủ yếu thuộc ngành sản xuất (31%), bán lẻ và dịch vụ (50%) và các ngành khác (19%). Đặc điểm nổi bật của mẫu là 82% doanh nghiệp không xuất khẩu (FSTS = 0), và chỉ khoảng 3% doanh nghiệp có FSTS &gt; 50%. Điều này có nghĩa là phần bên phải của đường cong I–P (vùng FSTS cao) thuộc vùng hỗ trợ dữ liệu thưa, cần đọc kết quả với sự thận trọng tương ứng.</w:t>
      </w:r>
    </w:p>
    <w:p>
      <w:pPr>
        <w:pStyle w:val="Heading3"/>
        <w:lnSpc>
          <w:lnSpcVal w:type="auto" w:val="288"/>
        </w:lnSpc>
      </w:pPr>
      <w:r>
        <w:rPr>
          <w:rFonts w:ascii="Times New Roman" w:hAnsi="Times New Roman"/>
        </w:rPr>
        <w:t>3.2.2 Kết quả chính</w:t>
      </w:r>
    </w:p>
    <w:p>
      <w:pPr>
        <w:ind w:firstLine="720"/>
        <w:lnSpc>
          <w:lnSpcVal w:type="auto" w:val="288"/>
        </w:lnSpc>
      </w:pPr>
      <w:r>
        <w:rPr>
          <w:rFonts w:ascii="Times New Roman" w:hAnsi="Times New Roman"/>
          <w:b w:val="0"/>
          <w:i w:val="0"/>
          <w:sz w:val="24"/>
        </w:rPr>
        <w:t>Phát hiện đầu tiên về mối quan hệ I–P tại Singapore là: trong phạm vi dữ liệu quan sát, đường cong phù hợp tốt hơn như một mô hình chủ yếu đơn điệu dương với độ cong nhẹ (mild quadratic curvature) hơn là hình chữ U ngược được xác định chính thức. Mô hình bậc hai M2 cho hệ số FSTS_c = +2,652 (p &lt; 0,001) và FSTS_c² = −1,705 (p = 0,097, gần ranh giới ý nghĩa). Điểm ngoặt ngụ ý khoảng 88,6% FSTS trên thang gốc — vị trí này nằm trong vùng hỗ trợ dữ liệu cực kỳ thưa (chỉ ~3,2% doanh nghiệp). Kiểm định Lind–Mehlum không xác nhận hình chữ U ngược chính thức (p = 0,303). Khoảng tin cậy bootstrap 95% cho điểm ngoặt rất rộng ([53%; 253%]). Kết luận phù hợp nhất là: trong mẫu Singapore, sự sụt giảm phía bên phải của đường cong không thể quan sát rõ ràng trong phạm vi cường độ xuất khẩu thực tế của các doanh nghiệp trong mẫu.</w:t>
      </w:r>
    </w:p>
    <w:p>
      <w:pPr>
        <w:ind w:firstLine="720"/>
        <w:lnSpc>
          <w:lnSpcVal w:type="auto" w:val="288"/>
        </w:lnSpc>
      </w:pPr>
      <w:r>
        <w:rPr>
          <w:rFonts w:ascii="Times New Roman" w:hAnsi="Times New Roman"/>
          <w:b w:val="0"/>
          <w:i w:val="0"/>
          <w:sz w:val="24"/>
        </w:rPr>
        <w:t>[Bảng 3.5: Thống kê mô tả – Singapore 2023]</w:t>
      </w:r>
    </w:p>
    <w:p>
      <w:pPr>
        <w:ind w:firstLine="720"/>
        <w:lnSpc>
          <w:lnSpcVal w:type="auto" w:val="288"/>
        </w:lnSpc>
      </w:pPr>
      <w:r>
        <w:rPr>
          <w:rFonts w:ascii="Times New Roman" w:hAnsi="Times New Roman"/>
          <w:b w:val="0"/>
          <w:i w:val="0"/>
          <w:sz w:val="24"/>
        </w:rPr>
        <w:t>Phát hiện thứ hai là TCI có mối liên hệ dương và có ý nghĩa thống kê với năng suất. Trong mô hình M5 (chỉ TCI), hệ số β = 0,168 (SE = 0,040, p &lt; 0,001). Khi đưa TCI và DAI vào cùng (M7), hệ số TCI_z duy trì ở mức 0,153 (p &lt; 0,001). Mô hình M5 cải thiện R² từ 0,178 (M2) lên 0,199. Không phát hiện được điều tiết có ý nghĩa của TCI đối với đường cong I–P trong mô hình thăm dò M3.</w:t>
      </w:r>
    </w:p>
    <w:p>
      <w:pPr>
        <w:ind w:firstLine="720"/>
        <w:lnSpc>
          <w:lnSpcVal w:type="auto" w:val="288"/>
        </w:lnSpc>
      </w:pPr>
      <w:r>
        <w:rPr>
          <w:rFonts w:ascii="Times New Roman" w:hAnsi="Times New Roman"/>
          <w:b w:val="0"/>
          <w:i w:val="0"/>
          <w:sz w:val="24"/>
        </w:rPr>
        <w:t>[Bảng 3.6: Kết quả hồi quy OLS theo mô hình tuần tự – Singapore]</w:t>
      </w:r>
    </w:p>
    <w:p>
      <w:pPr>
        <w:ind w:firstLine="720"/>
        <w:lnSpc>
          <w:lnSpcVal w:type="auto" w:val="288"/>
        </w:lnSpc>
      </w:pPr>
      <w:r>
        <w:rPr>
          <w:rFonts w:ascii="Times New Roman" w:hAnsi="Times New Roman"/>
          <w:b w:val="0"/>
          <w:i w:val="0"/>
          <w:sz w:val="24"/>
        </w:rPr>
        <w:t>Phát hiện thứ ba là DAI không có lợi thế năng suất lớn và đồng đều mà hoạt động như nguồn lực bổ sung có điều kiện tỷ lệ với cường độ xuất khẩu. Trong M6 (chỉ DAI), β_DAI = 0,104 (p = 0,007); nhưng khi kết hợp với TCI trong M7, β_DAI suy giảm xuống 0,077 (p = 0,048). Trong mô hình đầy đủ M8, hệ số trực tiếp DAI_z không còn ý nghĩa (β = 0,019, p = 0,705), trong khi tương tác bậc hai FSTS_c² × DAI_z = +3,119 (SE = 1,124, p = 0,005) có ý nghĩa thống kê. Kiểm định F chung trên hai tương tác DAI: F(2) = 4,56 (p = 0,011). R² mô hình M8 là 0,211.</w:t>
      </w:r>
    </w:p>
    <w:p>
      <w:pPr>
        <w:ind w:firstLine="720"/>
        <w:lnSpc>
          <w:lnSpcVal w:type="auto" w:val="288"/>
        </w:lnSpc>
      </w:pPr>
      <w:r>
        <w:rPr>
          <w:rFonts w:ascii="Times New Roman" w:hAnsi="Times New Roman"/>
          <w:b w:val="0"/>
          <w:i w:val="0"/>
          <w:sz w:val="24"/>
        </w:rPr>
        <w:t>[Bảng 3.8: Hiệu ứng biên của DAI theo mức độ FSTS – Singapore]</w:t>
      </w:r>
    </w:p>
    <w:p>
      <w:pPr>
        <w:ind w:firstLine="720"/>
        <w:lnSpc>
          <w:lnSpcVal w:type="auto" w:val="288"/>
        </w:lnSpc>
      </w:pPr>
      <w:r>
        <w:rPr>
          <w:rFonts w:ascii="Times New Roman" w:hAnsi="Times New Roman"/>
          <w:b w:val="0"/>
          <w:i w:val="0"/>
          <w:sz w:val="24"/>
        </w:rPr>
        <w:t>Bảng hiệu ứng biên cho thấy: tại FSTS = 0%, hiệu ứng biên DAI = +0,080 (p = 0,045); tại FSTS từ 5% đến 30%, không có ý nghĩa thống kê; tại FSTS = 70%, hiệu ứng biên = +0,660 (p = 0,025); tại FSTS = 100%, hiệu ứng biên = +1,818 (p = 0,002). Mô hình này ủng hộ quan điểm DAI là nguồn lực bổ sung quy mô (scaling complement) — chỉ phát huy rõ ràng khi doanh nghiệp đối mặt với mật độ phối hợp xuyên biên giới đủ cao.</w:t>
      </w:r>
    </w:p>
    <w:p>
      <w:pPr>
        <w:pStyle w:val="Heading3"/>
        <w:lnSpc>
          <w:lnSpcVal w:type="auto" w:val="288"/>
        </w:lnSpc>
      </w:pPr>
      <w:r>
        <w:rPr>
          <w:rFonts w:ascii="Times New Roman" w:hAnsi="Times New Roman"/>
        </w:rPr>
        <w:t>3.2.3 Thảo luận</w:t>
      </w:r>
    </w:p>
    <w:p>
      <w:pPr>
        <w:ind w:firstLine="720"/>
        <w:lnSpc>
          <w:lnSpcVal w:type="auto" w:val="288"/>
        </w:lnSpc>
      </w:pPr>
      <w:r>
        <w:rPr>
          <w:rFonts w:ascii="Times New Roman" w:hAnsi="Times New Roman"/>
          <w:b w:val="0"/>
          <w:i w:val="0"/>
          <w:sz w:val="24"/>
        </w:rPr>
        <w:t>Kết quả Singapore cung cấp ba đóng góp thảo luận đối với lý thuyết I–P trong bối cảnh số hóa cao. Thứ nhất, kết quả làm rõ (qualify rather than overturn) cơ sở hình chữ U ngược của tài liệu I–P cổ điển. Trong bối cảnh Singapore, hạ tầng số trưởng thành có thể đã làm giảm nhẹ hoặc đẩy lùi phần sụt giảm phía bên phải đường cong ra ngoài phạm vi cường độ xuất khẩu thực tế của các doanh nghiệp trong mẫu. Điều này nhất quán với lý thuyết: nếu hệ sinh thái số hóa bên ngoài doanh nghiệp đã hấp thụ một phần chi phí phối hợp xuyên biên giới (nhờ thanh toán điện tử, nền tảng thương mại điện tử và hệ thống logistics số), thì ngưỡng chi phí phối hợp xuất hiện muộn hơn hoặc ở mức cường độ xuất khẩu cao hơn.</w:t>
      </w:r>
    </w:p>
    <w:p>
      <w:pPr>
        <w:ind w:firstLine="720"/>
        <w:lnSpc>
          <w:lnSpcVal w:type="auto" w:val="288"/>
        </w:lnSpc>
      </w:pPr>
      <w:r>
        <w:rPr>
          <w:rFonts w:ascii="Times New Roman" w:hAnsi="Times New Roman"/>
          <w:b w:val="0"/>
          <w:i w:val="0"/>
          <w:sz w:val="24"/>
        </w:rPr>
        <w:t>Thứ hai, kết quả ủng hộ quan điểm phân tách TCI và DAI như hai cấu trúc không tương đương trong nền kinh tế số hóa cao. TCI thể hiện hiệu ứng trực tiếp ổn định và rộng hơn, trong khi DAI chỉ có tác động rõ ràng ở mức FSTS cao — gợi ý hai cơ chế khác nhau: TCI hoạt động qua kênh học hỏi và hấp thụ công nghệ nội tại; DAI hoạt động như công cụ khuếch đại quy mô khi khối lượng giao dịch xuyên biên giới đủ lớn để biến chi phí cố định của hệ thống số thành lợi thế kinh tế theo quy mô.</w:t>
      </w:r>
    </w:p>
    <w:p>
      <w:pPr>
        <w:ind w:firstLine="720"/>
        <w:lnSpc>
          <w:lnSpcVal w:type="auto" w:val="288"/>
        </w:lnSpc>
      </w:pPr>
      <w:r>
        <w:rPr>
          <w:rFonts w:ascii="Times New Roman" w:hAnsi="Times New Roman"/>
          <w:b w:val="0"/>
          <w:i w:val="0"/>
          <w:sz w:val="24"/>
        </w:rPr>
        <w:t>Thứ ba, kết quả từ Singapore tạo điểm neo thực nghiệm cho đầu thể chế tiên tiến của phổ. Trong khi Việt Nam cung cấp bằng chứng về đầu chuyển đổi thể chế (nơi DAI hoạt động không ổn định theo giai đoạn), Singapore cung cấp bằng chứng về đầu số hóa cao (nơi DAI hoạt động như nguồn lực bổ sung có điều kiện khi FSTS cao). Cần thận trọng: phát hiện này không thiết lập điều kiện biên tổng quát cho mọi nền kinh tế số hóa cao — Singapore có đặc thù thể chế và cơ cấu doanh nghiệp riêng biệt cần được tính đến.</w:t>
      </w:r>
    </w:p>
    <w:p>
      <w:pPr>
        <w:ind w:firstLine="720"/>
        <w:lnSpc>
          <w:lnSpcVal w:type="auto" w:val="288"/>
        </w:lnSpc>
      </w:pPr>
      <w:r>
        <w:rPr>
          <w:rFonts w:ascii="Times New Roman" w:hAnsi="Times New Roman"/>
          <w:b w:val="0"/>
          <w:i w:val="0"/>
          <w:sz w:val="24"/>
        </w:rPr>
        <w:t>Về hàm ý quản lý, kết quả gợi ý rằng trong các nền kinh tế số hóa cao với hạ tầng thanh toán và giao thương điện tử phát triển, đầu tư vào số hóa nền tảng trở nên có giá trị đặc biệt khi doanh nghiệp đã hoạt động ở mức xuất khẩu cao và cần phối hợp lượng lớn giao dịch xuyên biên giới. Doanh nghiệp ở mức xuất khẩu thấp hoặc trung bình có thể không thấy lợi ích năng suất ngay lập tức từ số hóa nền tảng mà không có các điều kiện bổ sung về quy trình tổ chức và năng lực hấp thụ.</w:t>
      </w:r>
    </w:p>
    <w:p>
      <w:pPr>
        <w:pStyle w:val="Heading2"/>
        <w:lnSpc>
          <w:lnSpcVal w:type="auto" w:val="288"/>
        </w:lnSpc>
      </w:pPr>
      <w:r>
        <w:rPr>
          <w:rFonts w:ascii="Times New Roman" w:hAnsi="Times New Roman"/>
        </w:rPr>
        <w:t>3.3 Bài báo 3 – Trung Quốc</w:t>
      </w:r>
    </w:p>
    <w:p>
      <w:pPr>
        <w:pStyle w:val="Heading3"/>
        <w:lnSpc>
          <w:lnSpcVal w:type="auto" w:val="288"/>
        </w:lnSpc>
      </w:pPr>
      <w:r>
        <w:rPr>
          <w:rFonts w:ascii="Times New Roman" w:hAnsi="Times New Roman"/>
        </w:rPr>
        <w:t>3.3.1 Bối cảnh và câu hỏi nghiên cứu</w:t>
      </w:r>
    </w:p>
    <w:p>
      <w:pPr>
        <w:ind w:firstLine="720"/>
        <w:lnSpc>
          <w:lnSpcVal w:type="auto" w:val="288"/>
        </w:lnSpc>
      </w:pPr>
      <w:r>
        <w:rPr>
          <w:rFonts w:ascii="Times New Roman" w:hAnsi="Times New Roman"/>
          <w:b w:val="0"/>
          <w:i w:val="0"/>
          <w:sz w:val="24"/>
        </w:rPr>
        <w:t>Bài báo về Trung Quốc có tiêu đề "The Export Intensity–Performance Relationship in Chinese Private Firms: A Threshold-Stability Perspective" đặt câu hỏi trung tâm là: liệu mối quan hệ phi tuyến I–P trong các doanh nghiệp tư nhân Trung Quốc có bền vững về mặt cấu trúc qua thời gian, hay thay đổi theo điều kiện môi trường?</w:t>
      </w:r>
    </w:p>
    <w:p>
      <w:pPr>
        <w:ind w:firstLine="720"/>
        <w:lnSpc>
          <w:lnSpcVal w:type="auto" w:val="288"/>
        </w:lnSpc>
      </w:pPr>
      <w:r>
        <w:rPr>
          <w:rFonts w:ascii="Times New Roman" w:hAnsi="Times New Roman"/>
          <w:b w:val="0"/>
          <w:i w:val="0"/>
          <w:sz w:val="24"/>
        </w:rPr>
        <w:t>Trung Quốc là bối cảnh lý tưởng để kiểm tra câu hỏi về tính ổn định cấu trúc vì giai đoạn 2012–2024 chứng kiến những thay đổi to lớn: tái cân bằng thương mại sau khủng hoảng 2008, leo thang thuế quan Mỹ-Trung, đứt gãy chuỗi cung ứng do COVID-19, sự trưởng thành của hạ tầng số và nền tảng thương mại điện tử (Alibaba, JD.com), cải cách tín dụng doanh nghiệp vừa và nhỏ, cũng như sự tham gia sâu hơn vào chuỗi giá trị toàn cầu. Lý thuyết dự báo rằng các thay đổi này nên dịch chuyển điểm ngoặt — hoặc làm phẳng phần sụt giảm — của đường cong I–P. Bài báo kiểm tra dự báo này và phát hiện ra một điều bất ngờ.</w:t>
      </w:r>
    </w:p>
    <w:p>
      <w:pPr>
        <w:ind w:firstLine="720"/>
        <w:lnSpc>
          <w:lnSpcVal w:type="auto" w:val="288"/>
        </w:lnSpc>
      </w:pPr>
      <w:r>
        <w:rPr>
          <w:rFonts w:ascii="Times New Roman" w:hAnsi="Times New Roman"/>
          <w:b w:val="0"/>
          <w:i w:val="0"/>
          <w:sz w:val="24"/>
        </w:rPr>
        <w:t>Bốn giả thuyết chính: H1 – Mối quan hệ giữa cường độ xuất khẩu và hiệu suất doanh nghiệp tư nhân Trung Quốc có dạng hình chữ U ngược; H2 – Hình dạng của mối quan hệ I–P khác biệt giữa làn sóng 2012 và 2024 (dự báo về sự dịch chuyển); H3 – Áp lực vốn lưu động ảnh hưởng đến độ dốc của phần sụt giảm sau điểm ngoặt; H4a/H4b – Năng lực công nghệ (TCI) và chấp nhận kỹ thuật số (DAI) điều tiết hình dạng đường cong I–P.</w:t>
      </w:r>
    </w:p>
    <w:p>
      <w:pPr>
        <w:ind w:firstLine="720"/>
        <w:lnSpc>
          <w:lnSpcVal w:type="auto" w:val="288"/>
        </w:lnSpc>
      </w:pPr>
      <w:r>
        <w:rPr>
          <w:rFonts w:ascii="Times New Roman" w:hAnsi="Times New Roman"/>
          <w:b w:val="0"/>
          <w:i w:val="0"/>
          <w:sz w:val="24"/>
        </w:rPr>
        <w:t>Mẫu phân tích gồm 2.610 doanh nghiệp năm 2012 và 1.934 doanh nghiệp năm 2024 (mẫu gộp N = 4.544). Khoảng 15,4% doanh nghiệp có FSTS &gt; 0 năm 2012 và 12,6% năm 2024, phản ánh tỷ lệ xuất khẩu tương đối thấp trong số doanh nghiệp tư nhân nhỏ. Năng suất lao động trung bình tăng từ 12,52 (log) năm 2012 lên 13,01 năm 2024, tương ứng mức tăng năng suất khoảng 64% theo mức thực.</w:t>
      </w:r>
    </w:p>
    <w:p>
      <w:pPr>
        <w:pStyle w:val="Heading3"/>
        <w:lnSpc>
          <w:lnSpcVal w:type="auto" w:val="288"/>
        </w:lnSpc>
      </w:pPr>
      <w:r>
        <w:rPr>
          <w:rFonts w:ascii="Times New Roman" w:hAnsi="Times New Roman"/>
        </w:rPr>
        <w:t>3.3.2 Kết quả chính</w:t>
      </w:r>
    </w:p>
    <w:p>
      <w:pPr>
        <w:ind w:firstLine="720"/>
        <w:lnSpc>
          <w:lnSpcVal w:type="auto" w:val="288"/>
        </w:lnSpc>
      </w:pPr>
      <w:r>
        <w:rPr>
          <w:rFonts w:ascii="Times New Roman" w:hAnsi="Times New Roman"/>
          <w:b w:val="0"/>
          <w:i w:val="0"/>
          <w:sz w:val="24"/>
        </w:rPr>
        <w:t>Mối quan hệ I–P tại Trung Quốc được xác nhận là hình chữ U ngược tại cả hai làn sóng và mẫu gộp (H1 được ủng hộ). Mô hình M2 cho hệ số FSTS dương và FSTS² âm có ý nghĩa thống kê trong cả hai làn sóng: β_FSTS = +2,07 (p &lt; 0,001) và β_FSTS² = −2,09 (p &lt; 0,001) năm 2012; β_FSTS = +1,50 (p = 0,010) và β_FSTS² = −1,59 (p = 0,026) năm 2024. Kiểm định Lind–Mehlum xác nhận hình chữ U ngược chính thức ở cả hai làn sóng.</w:t>
      </w:r>
    </w:p>
    <w:p>
      <w:pPr>
        <w:ind w:firstLine="720"/>
        <w:lnSpc>
          <w:lnSpcVal w:type="auto" w:val="288"/>
        </w:lnSpc>
      </w:pPr>
      <w:r>
        <w:rPr>
          <w:rFonts w:ascii="Times New Roman" w:hAnsi="Times New Roman"/>
          <w:b w:val="0"/>
          <w:i w:val="0"/>
          <w:sz w:val="24"/>
        </w:rPr>
        <w:t>Điểm ngoặt ước lượng đáng chú ý ở sự ổn định: 49,4% FSTS năm 2012 (CI 95%: [43,2%; 55,6%]), 47,2% năm 2024 (CI: [34,5%; 59,9%]) và 48,8% trong mẫu gộp (CI: [42,7%; 54,9%]). Ba ước lượng này có khoảng tin cậy chồng lên nhau đáng kể.</w:t>
      </w:r>
    </w:p>
    <w:p>
      <w:pPr>
        <w:ind w:firstLine="720"/>
        <w:lnSpc>
          <w:lnSpcVal w:type="auto" w:val="288"/>
        </w:lnSpc>
      </w:pPr>
      <w:r>
        <w:rPr>
          <w:rFonts w:ascii="Times New Roman" w:hAnsi="Times New Roman"/>
          <w:b w:val="0"/>
          <w:i w:val="0"/>
          <w:sz w:val="24"/>
        </w:rPr>
        <w:t>[Bảng 3.9: Thống kê mô tả – Trung Quốc (2012 và 2024)]</w:t>
      </w:r>
    </w:p>
    <w:p>
      <w:pPr>
        <w:ind w:firstLine="720"/>
        <w:lnSpc>
          <w:lnSpcVal w:type="auto" w:val="288"/>
        </w:lnSpc>
      </w:pPr>
      <w:r>
        <w:rPr>
          <w:rFonts w:ascii="Times New Roman" w:hAnsi="Times New Roman"/>
          <w:b w:val="0"/>
          <w:i w:val="0"/>
          <w:sz w:val="24"/>
        </w:rPr>
        <w:t>[Bảng 3.10: Mô hình ngưỡng M2 – Trung Quốc]</w:t>
      </w:r>
    </w:p>
    <w:p>
      <w:pPr>
        <w:ind w:firstLine="720"/>
        <w:lnSpc>
          <w:lnSpcVal w:type="auto" w:val="288"/>
        </w:lnSpc>
      </w:pPr>
      <w:r>
        <w:rPr>
          <w:rFonts w:ascii="Times New Roman" w:hAnsi="Times New Roman"/>
          <w:b w:val="0"/>
          <w:i w:val="0"/>
          <w:sz w:val="24"/>
        </w:rPr>
        <w:t>Phát hiện bất ngờ nhất là H2 không được ủng hộ — tức là hình dạng đường cong I–P không thay đổi có ý nghĩa thống kê giữa 2012 và 2024. Kiểm định z của Paternoster không bác bỏ đẳng thức hệ số: z = +0,82 (p = 0,412) cho hệ số FSTS; z = −0,61 (p = 0,545) cho hệ số FSTS². Kiểm định F chung cho tương tác (FSTS × wave_2024, FSTS² × wave_2024): F(2, 3.558) = 2,24 (p = 0,107) — không có ý nghĩa thống kê. Bài báo diễn giải đây là phát hiện ổn định bất ngờ (unexpected stability finding): bất chấp nhiều cơ chế lý thuyết dự báo sự dịch chuyển, dữ liệu cho thấy ngưỡng tối ưu xuất khẩu của các doanh nghiệp tư nhân Trung Quốc là đặc điểm cấu trúc bền vững, không thay đổi qua một thập kỷ biến đổi môi trường đáng kể.</w:t>
      </w:r>
    </w:p>
    <w:p>
      <w:pPr>
        <w:ind w:firstLine="720"/>
        <w:lnSpc>
          <w:lnSpcVal w:type="auto" w:val="288"/>
        </w:lnSpc>
      </w:pPr>
      <w:r>
        <w:rPr>
          <w:rFonts w:ascii="Times New Roman" w:hAnsi="Times New Roman"/>
          <w:b w:val="0"/>
          <w:i w:val="0"/>
          <w:sz w:val="24"/>
        </w:rPr>
        <w:t>Năng lực công nghệ TCI thể hiện mối liên hệ dương và mạnh với năng suất ở cả hai làn sóng: β_z = +0,260 (SE = 0,049, p &lt; 0,001) năm 2012 và β_z = +0,426 (SE = 0,047, p &lt; 0,001) năm 2024. Hệ số TCI còn tăng đáng kể giữa hai làn sóng: kiểm định z Paternoster cho z = −2,55 (p = 0,011). Điều này nhất quán với quan điểm rằng năng lực công nghệ tích lũy và phức hợp theo thời gian khi các nhà xuất khẩu Trung Quốc đối mặt với áp lực cạnh tranh quốc tế ngày càng gia tăng. DAI cũng có mối liên hệ dương nhỏ (β_z từ 0,05 đến 0,13, p ≤ 0,03), nhưng không điều tiết được đường cong.</w:t>
      </w:r>
    </w:p>
    <w:p>
      <w:pPr>
        <w:ind w:firstLine="720"/>
        <w:lnSpc>
          <w:lnSpcVal w:type="auto" w:val="288"/>
        </w:lnSpc>
      </w:pPr>
      <w:r>
        <w:rPr>
          <w:rFonts w:ascii="Times New Roman" w:hAnsi="Times New Roman"/>
          <w:b w:val="0"/>
          <w:i w:val="0"/>
          <w:sz w:val="24"/>
        </w:rPr>
        <w:t>[Bảng 3.11: Kiểm định điều tiết ba chiều – Trung Quốc]</w:t>
      </w:r>
    </w:p>
    <w:p>
      <w:pPr>
        <w:ind w:firstLine="720"/>
        <w:lnSpc>
          <w:lnSpcVal w:type="auto" w:val="288"/>
        </w:lnSpc>
      </w:pPr>
      <w:r>
        <w:rPr>
          <w:rFonts w:ascii="Times New Roman" w:hAnsi="Times New Roman"/>
          <w:b w:val="0"/>
          <w:i w:val="0"/>
          <w:sz w:val="24"/>
        </w:rPr>
        <w:t>Cả H4a và H4b về điều tiết đường cong đều không được ủng hộ vững chắc. Kiểm định F chung cho (TCI×FSTS, TCI×FSTS²): F(2, 3.558) = 3,26 (p = 0,039) — biên có ý nghĩa — nhưng không có hệ số tương tác cá lẻ nào đạt ngưỡng ý nghĩa thống kê. Kiểm định điều tiết động ba chiều (TCI×wave×curvature) cho F(2) = 0,27 (p = 0,760) — không có bằng chứng. H3 về vốn lưu động cũng không được ủng hộ ổn định xuyên làn sóng.</w:t>
      </w:r>
    </w:p>
    <w:p>
      <w:pPr>
        <w:pStyle w:val="Heading3"/>
        <w:lnSpc>
          <w:lnSpcVal w:type="auto" w:val="288"/>
        </w:lnSpc>
      </w:pPr>
      <w:r>
        <w:rPr>
          <w:rFonts w:ascii="Times New Roman" w:hAnsi="Times New Roman"/>
        </w:rPr>
        <w:t>3.3.3 Thảo luận</w:t>
      </w:r>
    </w:p>
    <w:p>
      <w:pPr>
        <w:ind w:firstLine="720"/>
        <w:lnSpc>
          <w:lnSpcVal w:type="auto" w:val="288"/>
        </w:lnSpc>
      </w:pPr>
      <w:r>
        <w:rPr>
          <w:rFonts w:ascii="Times New Roman" w:hAnsi="Times New Roman"/>
          <w:b w:val="0"/>
          <w:i w:val="0"/>
          <w:sz w:val="24"/>
        </w:rPr>
        <w:t>Phát hiện ổn định bất ngờ tại Trung Quốc đặt ra câu hỏi lý thuyết sâu sắc: tại sao đường cong I–P không dịch chuyển dù môi trường kinh doanh đã thay đổi sâu sắc? Bài báo đề xuất một diễn giải thống nhất: mối quan hệ phi tuyến I–P đối với các doanh nghiệp tư nhân Trung Quốc là đặc điểm cấu trúc nội tại của cân bằng giữa lợi ích quy mô và chi phí phối hợp, chứ không phải đặc điểm biến thiên theo môi trường bề ngoài. Nghĩa là, dù hạ tầng số có được cải thiện, dù tài chính thương mại có được đổi mới, dù chuỗi giá trị có được tích hợp sâu hơn, nhưng cơ chế cơ bản tạo ra điểm ngoặt — giới hạn tổ chức, chi phí biên tăng theo của quản lý đa thị trường, và rủi ro vốn lưu động tích lũy — vẫn duy trì sức mạnh tương đối.</w:t>
      </w:r>
    </w:p>
    <w:p>
      <w:pPr>
        <w:ind w:firstLine="720"/>
        <w:lnSpc>
          <w:lnSpcVal w:type="auto" w:val="288"/>
        </w:lnSpc>
      </w:pPr>
      <w:r>
        <w:rPr>
          <w:rFonts w:ascii="Times New Roman" w:hAnsi="Times New Roman"/>
          <w:b w:val="0"/>
          <w:i w:val="0"/>
          <w:sz w:val="24"/>
        </w:rPr>
        <w:t>Điều này phân biệt Trung Quốc với Việt Nam theo một cách thú vị: tại Việt Nam, vị trí điểm ngoặt ổn định (~39–46% FSTS) nhưng vai trò của DAI biến thiên theo làn sóng; tại Trung Quốc, cả vị trí điểm ngoặt (~47–49% FSTS) lẫn vai trò điều tiết đường cong đều ổn định và không bị điều kiện hóa bởi TCI hay DAI. Hai bức tranh khác nhau này gợi ý rằng sự ổn định cấu trúc I–P có thể xuất phát từ những nguồn gốc khác nhau: tại Việt Nam, nó phản ánh sự bền bỉ của cơ chế tham gia–cường độ dù năng lực số thay đổi; tại Trung Quốc, nó phản ánh sự bền bỉ của cân bằng giữa lợi ích quốc tế hóa và chi phí quản lý vượt ngưỡng.</w:t>
      </w:r>
    </w:p>
    <w:p>
      <w:pPr>
        <w:ind w:firstLine="720"/>
        <w:lnSpc>
          <w:lnSpcVal w:type="auto" w:val="288"/>
        </w:lnSpc>
      </w:pPr>
      <w:r>
        <w:rPr>
          <w:rFonts w:ascii="Times New Roman" w:hAnsi="Times New Roman"/>
          <w:b w:val="0"/>
          <w:i w:val="0"/>
          <w:sz w:val="24"/>
        </w:rPr>
        <w:t>Về đóng góp phương pháp luận, bài báo này là ví dụ hiếm thấy về thiết kế nghiên cứu có tiên nghiệm dự báo dịch chuyển (predicted shift) dựa trên lý luận lý thuyết rõ ràng, rồi để dữ liệu bác bỏ dự báo đó. Cách tiếp cận này đáng học hỏi: phát hiện ổn định bất ngờ (null) có giá trị thực nghiệm cao khi nó xuất hiện trước một dự báo dương mạnh mẽ, bởi vì nó loại trừ khả năng sự ổn định chỉ là kết quả của việc không có giả thuyết rõ ràng.</w:t>
      </w:r>
    </w:p>
    <w:p>
      <w:pPr>
        <w:ind w:firstLine="720"/>
        <w:lnSpc>
          <w:lnSpcVal w:type="auto" w:val="288"/>
        </w:lnSpc>
      </w:pPr>
      <w:r>
        <w:rPr>
          <w:rFonts w:ascii="Times New Roman" w:hAnsi="Times New Roman"/>
          <w:b w:val="0"/>
          <w:i w:val="0"/>
          <w:sz w:val="24"/>
        </w:rPr>
        <w:t>Về hàm ý quản lý và chính sách, kết quả tại Trung Quốc gợi ý rằng các doanh nghiệp tư nhân nhỏ và vừa có thể được hưởng lợi từ một "vùng xuất khẩu an toàn" (safe operating zone) trong khoảng 30%–60% FSTS — vùng trong đó năng suất dự báo gần với đỉnh điểm. Chính sách thúc đẩy xuất khẩu nên tập trung vào việc giúp doanh nghiệp duy trì cường độ xuất khẩu trong vùng này, thay vì đẩy cường độ lên vượt ngưỡng. Riêng TCI nên được ưu tiên đầu tư vì đây là kênh năng lực bền vững và mạnh hơn DAI trong bối cảnh Trung Quốc.</w:t>
      </w:r>
    </w:p>
    <w:p>
      <w:r>
        <w:br w:type="page"/>
      </w:r>
    </w:p>
    <w:p>
      <w:pPr>
        <w:pStyle w:val="Heading1"/>
        <w:lnSpc>
          <w:lnSpcVal w:type="auto" w:val="288"/>
        </w:lnSpc>
      </w:pPr>
      <w:r>
        <w:rPr>
          <w:rFonts w:ascii="Times New Roman" w:hAnsi="Times New Roman"/>
        </w:rPr>
        <w:t>PHẦN 4: KẾT LUẬN VÀ ĐỀ XUẤT</w:t>
      </w:r>
    </w:p>
    <w:p>
      <w:pPr>
        <w:pStyle w:val="Heading2"/>
        <w:lnSpc>
          <w:lnSpcVal w:type="auto" w:val="288"/>
        </w:lnSpc>
      </w:pPr>
      <w:r>
        <w:rPr>
          <w:rFonts w:ascii="Times New Roman" w:hAnsi="Times New Roman"/>
        </w:rPr>
        <w:t>4.1 Kết luận tổng hợp</w:t>
      </w:r>
    </w:p>
    <w:p>
      <w:pPr>
        <w:ind w:firstLine="720"/>
        <w:lnSpc>
          <w:lnSpcVal w:type="auto" w:val="288"/>
        </w:lnSpc>
      </w:pPr>
      <w:r>
        <w:rPr>
          <w:rFonts w:ascii="Times New Roman" w:hAnsi="Times New Roman"/>
          <w:b w:val="0"/>
          <w:i w:val="0"/>
          <w:sz w:val="24"/>
        </w:rPr>
        <w:t>Tổng hợp kết quả từ ba bài báo dẫn đến bốn kết luận xuyên suốt có tính tổng quát cao hơn so với từng bài báo riêng lẻ.</w:t>
      </w:r>
    </w:p>
    <w:p>
      <w:pPr>
        <w:ind w:firstLine="720"/>
        <w:lnSpc>
          <w:lnSpcVal w:type="auto" w:val="288"/>
        </w:lnSpc>
      </w:pPr>
      <w:r>
        <w:rPr>
          <w:rFonts w:ascii="Times New Roman" w:hAnsi="Times New Roman"/>
          <w:b w:val="0"/>
          <w:i w:val="0"/>
          <w:sz w:val="24"/>
        </w:rPr>
        <w:t>Kết luận thứ nhất: Mối quan hệ I–P có dạng phi tuyến (hình chữ U ngược) là đặc điểm phổ biến ở các nền kinh tế châu Á mới nổi và chuyển đổi, nhưng vị trí điểm ngoặt và khả năng quan sát của phần sụt giảm bên phải phụ thuộc vào hạ tầng số và thể chế địa phương. Tại Việt Nam và Trung Quốc, điểm ngoặt xuất hiện rõ ràng và ổn định (khoảng 39–46% FSTS tại Việt Nam và 47–49% tại Trung Quốc). Tại Singapore, phần sụt giảm bên phải không quan sát được trong phạm vi dữ liệu — gợi ý rằng hạ tầng số trưởng thành có thể làm chậm hoặc giảm nhẹ cơ chế chi phí phối hợp.</w:t>
      </w:r>
    </w:p>
    <w:p>
      <w:pPr>
        <w:ind w:firstLine="720"/>
        <w:lnSpc>
          <w:lnSpcVal w:type="auto" w:val="288"/>
        </w:lnSpc>
      </w:pPr>
      <w:r>
        <w:rPr>
          <w:rFonts w:ascii="Times New Roman" w:hAnsi="Times New Roman"/>
          <w:b w:val="0"/>
          <w:i w:val="0"/>
          <w:sz w:val="24"/>
        </w:rPr>
        <w:t>Kết luận thứ hai: TCI là yếu tố dịch chuyển mức năng suất nhất quán và bền vững nhất qua cả ba bối cảnh, với hệ số β_z từ 0,123 đến 0,426 (tất cả p &lt; 0,05). TCI cũng cho thấy khả năng chống lại các phép kiểm định nhận diện mạnh hơn (PSM, 2SLS) so với DAI, xác nhận rằng năng lực công nghệ–tiêu chuẩn ngoại là một kênh năng suất đáng tin cậy hơn so với hiện diện kỹ thuật số nền tảng.</w:t>
      </w:r>
    </w:p>
    <w:p>
      <w:pPr>
        <w:ind w:firstLine="720"/>
        <w:lnSpc>
          <w:lnSpcVal w:type="auto" w:val="288"/>
        </w:lnSpc>
      </w:pPr>
      <w:r>
        <w:rPr>
          <w:rFonts w:ascii="Times New Roman" w:hAnsi="Times New Roman"/>
          <w:b w:val="0"/>
          <w:i w:val="0"/>
          <w:sz w:val="24"/>
        </w:rPr>
        <w:t>Kết luận thứ ba: DAI là nguồn lực nhạy cảm ngữ cảnh và giai đoạn, không phải lợi thế đồng đều. Tại Việt Nam, DAI biến thiên theo làn sóng (mạnh 2009 → triệt tiêu 2015 → phục hồi 2023). Tại Singapore, DAI chỉ có mối liên hệ dương rõ ràng ở mức FSTS cao. Tại Trung Quốc, DAI có hiệu ứng dịch chuyển mức nhỏ nhưng không điều tiết đường cong. Sự nhất quán xuyên bối cảnh này ủng hộ kết luận rằng DAI không phải là hằng số hiệu suất mà là biến phụ thuộc vào điều kiện — hệ sinh thái số, giai đoạn quốc tế hóa, và năng lực tổ chức của doanh nghiệp.</w:t>
      </w:r>
    </w:p>
    <w:p>
      <w:pPr>
        <w:ind w:firstLine="720"/>
        <w:lnSpc>
          <w:lnSpcVal w:type="auto" w:val="288"/>
        </w:lnSpc>
      </w:pPr>
      <w:r>
        <w:rPr>
          <w:rFonts w:ascii="Times New Roman" w:hAnsi="Times New Roman"/>
          <w:b w:val="0"/>
          <w:i w:val="0"/>
          <w:sz w:val="24"/>
        </w:rPr>
        <w:t>Kết luận thứ tư: Tính ổn định cấu trúc của mối quan hệ I–P theo thời gian là phát hiện thực nghiệm quan trọng, đặc biệt trong trường hợp Trung Quốc (2012–2024) và ở mức độ thấp hơn trong Việt Nam (2009–2023). Điều này gợi ý rằng sự biến thiên trong tài liệu tổng hợp (meta-analytic heterogeneity) về I–P chủ yếu xuất phát từ sự khác biệt giữa các bối cảnh thể chế, không phải từ sự biến đổi theo thời gian trong từng bối cảnh.</w:t>
      </w:r>
    </w:p>
    <w:p>
      <w:pPr>
        <w:pStyle w:val="Heading2"/>
        <w:lnSpc>
          <w:lnSpcVal w:type="auto" w:val="288"/>
        </w:lnSpc>
      </w:pPr>
      <w:r>
        <w:rPr>
          <w:rFonts w:ascii="Times New Roman" w:hAnsi="Times New Roman"/>
        </w:rPr>
        <w:t>4.2 Đóng góp lý thuyết</w:t>
      </w:r>
    </w:p>
    <w:p>
      <w:pPr>
        <w:ind w:firstLine="720"/>
        <w:lnSpc>
          <w:lnSpcVal w:type="auto" w:val="288"/>
        </w:lnSpc>
      </w:pPr>
      <w:r>
        <w:rPr>
          <w:rFonts w:ascii="Times New Roman" w:hAnsi="Times New Roman"/>
          <w:b w:val="0"/>
          <w:i w:val="0"/>
          <w:sz w:val="24"/>
        </w:rPr>
        <w:t>Chuyên đề đóng góp vào lý thuyết kinh doanh quốc tế theo ba hướng chính.</w:t>
      </w:r>
    </w:p>
    <w:p>
      <w:pPr>
        <w:ind w:firstLine="720"/>
        <w:lnSpc>
          <w:lnSpcVal w:type="auto" w:val="288"/>
        </w:lnSpc>
      </w:pPr>
      <w:r>
        <w:rPr>
          <w:rFonts w:ascii="Times New Roman" w:hAnsi="Times New Roman"/>
          <w:b w:val="0"/>
          <w:i w:val="0"/>
          <w:sz w:val="24"/>
        </w:rPr>
        <w:t>Hướng thứ nhất là phân biệt TCI và DAI như hai cấu trúc lý thuyết không tương đương. Trong tài liệu hiện có, số hóa thường được xử lý như một biến tổng hợp đơn nhất. Ba bài báo trong chuyên đề này cho thấy rằng TCI (gắn với truyền thống Lall 1992 và Cohen–Levinthal 1990) và DAI (gắn với truyền thống Bharadwaj và cộng sự 2013 và Verhoef và cộng sự 2021) không chỉ được đo lường khác nhau mà còn vận hành qua các cơ chế khác nhau và có mức độ bền vững nhận diện khác nhau. Phân biệt này là bước tiến quan trọng về tính rõ ràng cấu trúc (construct clarity) trong nghiên cứu kinh doanh quốc tế.</w:t>
      </w:r>
    </w:p>
    <w:p>
      <w:pPr>
        <w:ind w:firstLine="720"/>
        <w:lnSpc>
          <w:lnSpcVal w:type="auto" w:val="288"/>
        </w:lnSpc>
      </w:pPr>
      <w:r>
        <w:rPr>
          <w:rFonts w:ascii="Times New Roman" w:hAnsi="Times New Roman"/>
          <w:b w:val="0"/>
          <w:i w:val="0"/>
          <w:sz w:val="24"/>
        </w:rPr>
        <w:t>Hướng thứ hai là giới thiệu diễn giải vòng đời (lifecycle interpretation) của việc chấp nhận kỹ thuật số trong bối cảnh quốc tế hóa. Bằng chứng từ Việt Nam cho thấy rằng DAI không phải là hằng số phúc lợi cố định mà là nguồn lực giai đoạn phụ thuộc. Khuôn khổ này mở rộng lý thuyết Uppsala về quốc tế hóa (Vahlne và Johanson, 2017) bằng cách thêm chiều kỹ thuật số vào logic về cam kết và học hỏi theo giai đoạn.</w:t>
      </w:r>
    </w:p>
    <w:p>
      <w:pPr>
        <w:ind w:firstLine="720"/>
        <w:lnSpc>
          <w:lnSpcVal w:type="auto" w:val="288"/>
        </w:lnSpc>
      </w:pPr>
      <w:r>
        <w:rPr>
          <w:rFonts w:ascii="Times New Roman" w:hAnsi="Times New Roman"/>
          <w:b w:val="0"/>
          <w:i w:val="0"/>
          <w:sz w:val="24"/>
        </w:rPr>
        <w:t>Hướng thứ ba là đóng góp bằng chứng về tính ổn định cấu trúc và sự bất biến điểm ngoặt. Bằng chứng từ Trung Quốc — rằng ngưỡng tối ưu xuất khẩu không thay đổi qua một thập kỷ biến đổi môi trường — mang lại luận điểm quan trọng: cơ chế tạo ra điểm ngoặt I–P có thể là đặc điểm nội tại của cấu trúc doanh nghiệp–thị trường, không phải biến thiên tùy tiện theo điều kiện tức thời.</w:t>
      </w:r>
    </w:p>
    <w:p>
      <w:pPr>
        <w:pStyle w:val="Heading2"/>
        <w:lnSpc>
          <w:lnSpcVal w:type="auto" w:val="288"/>
        </w:lnSpc>
      </w:pPr>
      <w:r>
        <w:rPr>
          <w:rFonts w:ascii="Times New Roman" w:hAnsi="Times New Roman"/>
        </w:rPr>
        <w:t>4.3 Hàm ý quản lý</w:t>
      </w:r>
    </w:p>
    <w:p>
      <w:pPr>
        <w:ind w:firstLine="720"/>
        <w:lnSpc>
          <w:lnSpcVal w:type="auto" w:val="288"/>
        </w:lnSpc>
      </w:pPr>
      <w:r>
        <w:rPr>
          <w:rFonts w:ascii="Times New Roman" w:hAnsi="Times New Roman"/>
          <w:b w:val="0"/>
          <w:i w:val="0"/>
          <w:sz w:val="24"/>
        </w:rPr>
        <w:t>Ba hàm ý quản lý thực tiễn rút ra từ tổng hợp ba bài báo.</w:t>
      </w:r>
    </w:p>
    <w:p>
      <w:pPr>
        <w:ind w:firstLine="720"/>
        <w:lnSpc>
          <w:lnSpcVal w:type="auto" w:val="288"/>
        </w:lnSpc>
      </w:pPr>
      <w:r>
        <w:rPr>
          <w:rFonts w:ascii="Times New Roman" w:hAnsi="Times New Roman"/>
          <w:b w:val="0"/>
          <w:i w:val="0"/>
          <w:sz w:val="24"/>
        </w:rPr>
        <w:t>Hàm ý thứ nhất là các nhà quản lý nên tránh coi số hóa nền tảng (website, e-payment cơ bản) như lợi thế năng suất tự động. Lợi ích của DAI phụ thuộc vào mức độ cường độ xuất khẩu hiện tại của doanh nghiệp, giai đoạn số hóa của nền kinh tế và năng lực tổ chức hỗ trợ. Trong các nền kinh tế chuyển đổi (như Việt Nam), đầu tư vào DAI cần được kết hợp với đầu tư vào năng lực phối hợp tổ chức và hạ tầng giao dịch xuyên biên giới.</w:t>
      </w:r>
    </w:p>
    <w:p>
      <w:pPr>
        <w:ind w:firstLine="720"/>
        <w:lnSpc>
          <w:lnSpcVal w:type="auto" w:val="288"/>
        </w:lnSpc>
      </w:pPr>
      <w:r>
        <w:rPr>
          <w:rFonts w:ascii="Times New Roman" w:hAnsi="Times New Roman"/>
          <w:b w:val="0"/>
          <w:i w:val="0"/>
          <w:sz w:val="24"/>
        </w:rPr>
        <w:t>Hàm ý thứ hai là TCI — đại diện bởi chứng nhận chất lượng quốc tế và tiếp nhận công nghệ ngoại nhập — nên được ưu tiên đầu tư ở mọi giai đoạn xuất khẩu. TCI là kênh năng suất bền vững hơn, không phụ thuộc vào giai đoạn và tồn tại qua nhiều kiểm định nhận diện khác nhau.</w:t>
      </w:r>
    </w:p>
    <w:p>
      <w:pPr>
        <w:ind w:firstLine="720"/>
        <w:lnSpc>
          <w:lnSpcVal w:type="auto" w:val="288"/>
        </w:lnSpc>
      </w:pPr>
      <w:r>
        <w:rPr>
          <w:rFonts w:ascii="Times New Roman" w:hAnsi="Times New Roman"/>
          <w:b w:val="0"/>
          <w:i w:val="0"/>
          <w:sz w:val="24"/>
        </w:rPr>
        <w:t>Hàm ý thứ ba là các doanh nghiệp nên nhận thức rằng tồn tại "vùng xuất khẩu tối ưu" cụ thể cho từng bối cảnh. Doanh nghiệp Trung Quốc tư nhân nên duy trì FSTS trong vùng 30%–60% để tối đa hóa năng suất. Doanh nghiệp Việt Nam cần nhận thức rằng lợi thế năng suất từ xuất khẩu tập trung ở bước chuyển ban đầu (từ không xuất khẩu sang có xuất khẩu) nhiều hơn là từ việc tiếp tục tăng cường độ vượt quá mức hiện tại. Doanh nghiệp Singapore có thể tăng cường độ xuất khẩu mà không lo sợ sụt giảm năng suất sớm, nhưng lợi thế của số hóa chỉ thực sự phát huy ở mức FSTS cao.</w:t>
      </w:r>
    </w:p>
    <w:p>
      <w:pPr>
        <w:pStyle w:val="Heading2"/>
        <w:lnSpc>
          <w:lnSpcVal w:type="auto" w:val="288"/>
        </w:lnSpc>
      </w:pPr>
      <w:r>
        <w:rPr>
          <w:rFonts w:ascii="Times New Roman" w:hAnsi="Times New Roman"/>
        </w:rPr>
        <w:t>4.4 Hạn chế và hướng nghiên cứu tiếp theo</w:t>
      </w:r>
    </w:p>
    <w:p>
      <w:pPr>
        <w:ind w:firstLine="720"/>
        <w:lnSpc>
          <w:lnSpcVal w:type="auto" w:val="288"/>
        </w:lnSpc>
      </w:pPr>
      <w:r>
        <w:rPr>
          <w:rFonts w:ascii="Times New Roman" w:hAnsi="Times New Roman"/>
          <w:b w:val="0"/>
          <w:i w:val="0"/>
          <w:sz w:val="24"/>
        </w:rPr>
        <w:t>Ngoài các hạn chế đã được đề cập trong mục 1.4, tổng hợp xuyên bối cảnh gặp thêm một số hạn chế.</w:t>
      </w:r>
    </w:p>
    <w:p>
      <w:pPr>
        <w:ind w:firstLine="720"/>
        <w:lnSpc>
          <w:lnSpcVal w:type="auto" w:val="288"/>
        </w:lnSpc>
      </w:pPr>
      <w:r>
        <w:rPr>
          <w:rFonts w:ascii="Times New Roman" w:hAnsi="Times New Roman"/>
          <w:b w:val="0"/>
          <w:i w:val="0"/>
          <w:sz w:val="24"/>
        </w:rPr>
        <w:t>Về so sánh xuyên bối cảnh: ba bài báo sử dụng dữ liệu từ các năm khác nhau (2009–2023 Việt Nam; 2023 Singapore; 2012–2024 Trung Quốc), nên so sánh trực tiếp hệ số cần thận trọng. Hơn nữa, định nghĩa FSTS trong WBES là tỷ lệ doanh thu xuất khẩu trực tiếp, không bao gồm xuất khẩu gián tiếp qua trung gian — có thể dẫn đến ước lượng thấp cho các doanh nghiệp tham gia vào chuỗi giá trị toàn cầu qua các liên kết nội địa.</w:t>
      </w:r>
    </w:p>
    <w:p>
      <w:pPr>
        <w:ind w:firstLine="720"/>
        <w:lnSpc>
          <w:lnSpcVal w:type="auto" w:val="288"/>
        </w:lnSpc>
      </w:pPr>
      <w:r>
        <w:rPr>
          <w:rFonts w:ascii="Times New Roman" w:hAnsi="Times New Roman"/>
          <w:b w:val="0"/>
          <w:i w:val="0"/>
          <w:sz w:val="24"/>
        </w:rPr>
        <w:t>Về đo lường TCI và DAI: các chỉ báo WBES cho TCI và DAI thuộc lớp Tier 1–2, không nắm bắt được năng lực số hóa sâu ở Tier 3–4. Nghiên cứu tương lai cần dữ liệu giàu hơn để kiểm tra xem liệu năng lực số hóa ở cấp cao hơn (AI, tích hợp ERP, nền tảng số) có hành xử giống hay khác TCI/DAI Tier 1–2 này không.</w:t>
      </w:r>
    </w:p>
    <w:p>
      <w:pPr>
        <w:ind w:firstLine="720"/>
        <w:lnSpc>
          <w:lnSpcVal w:type="auto" w:val="288"/>
        </w:lnSpc>
      </w:pPr>
      <w:r>
        <w:rPr>
          <w:rFonts w:ascii="Times New Roman" w:hAnsi="Times New Roman"/>
          <w:b w:val="0"/>
          <w:i w:val="0"/>
          <w:sz w:val="24"/>
        </w:rPr>
        <w:t>Hướng nghiên cứu tiếp theo bao gồm: (1) so sánh đa quốc gia đồng nhất trong một thiết kế duy nhất, thay vì tổng hợp các bài báo độc lập; (2) thiết kế bảng dữ liệu (panel) cấp doanh nghiệp để kiểm soát không đồng nhất không quan sát được; (3) khai thác các thay đổi chính sách (policy shocks) như NDTP Việt Nam 2020, cải cách tài chính thương mại Trung Quốc, hoặc các làn sóng đầu tư FDI để tạo đột biến ngoại sinh cho nhận diện nhân quả; (4) mở rộng sang các nền kinh tế châu Á khác (Ấn Độ, Indonesia, Thái Lan) để kiểm tra tính tổng quát của khuôn khổ TCI–DAI–I–P.</w:t>
      </w:r>
    </w:p>
    <w:p>
      <w:r>
        <w:br w:type="page"/>
      </w:r>
    </w:p>
    <w:p>
      <w:pPr>
        <w:pStyle w:val="Heading1"/>
        <w:lnSpc>
          <w:lnSpcVal w:type="auto" w:val="288"/>
        </w:lnSpc>
      </w:pPr>
      <w:r>
        <w:rPr>
          <w:rFonts w:ascii="Times New Roman" w:hAnsi="Times New Roman"/>
        </w:rPr>
        <w:t>TÀI LIỆU THAM KHẢO</w:t>
      </w:r>
    </w:p>
    <w:p>
      <w:pPr>
        <w:ind w:left="720" w:hanging="720"/>
        <w:lnSpc>
          <w:lnSpcVal w:type="auto" w:val="288"/>
        </w:lnSpc>
      </w:pPr>
      <w:r>
        <w:rPr>
          <w:rFonts w:ascii="Times New Roman" w:hAnsi="Times New Roman"/>
          <w:sz w:val="22"/>
        </w:rPr>
        <w:t>Aguinis, H., Beaty, J. C., Boik, R. J., &amp; Pierce, C. A. (2005). Effect size and power in assessing moderating effects of categorical variables using multiple regression: A 30-year review. Journal of Applied Psychology, 90(1), 94–107.</w:t>
      </w:r>
    </w:p>
    <w:p>
      <w:pPr>
        <w:ind w:left="720" w:hanging="720"/>
        <w:lnSpc>
          <w:lnSpcVal w:type="auto" w:val="288"/>
        </w:lnSpc>
      </w:pPr>
      <w:r>
        <w:rPr>
          <w:rFonts w:ascii="Times New Roman" w:hAnsi="Times New Roman"/>
          <w:sz w:val="22"/>
        </w:rPr>
        <w:t>Aguinis, H., Hill, N. S., and Bailey, J. R. (2021). Best practices in data collection and preparation: Recommendations for reviewers, editors, and authors. Organizational Research Methods, 24(4), 678–693.</w:t>
      </w:r>
    </w:p>
    <w:p>
      <w:pPr>
        <w:ind w:left="720" w:hanging="720"/>
        <w:lnSpc>
          <w:lnSpcVal w:type="auto" w:val="288"/>
        </w:lnSpc>
      </w:pPr>
      <w:r>
        <w:rPr>
          <w:rFonts w:ascii="Times New Roman" w:hAnsi="Times New Roman"/>
          <w:sz w:val="22"/>
        </w:rPr>
        <w:t>Aiken, L. S., &amp; West, S. G. (1991). Multiple regression: Testing and interpreting interactions. Sage.</w:t>
      </w:r>
    </w:p>
    <w:p>
      <w:pPr>
        <w:ind w:left="720" w:hanging="720"/>
        <w:lnSpc>
          <w:lnSpcVal w:type="auto" w:val="288"/>
        </w:lnSpc>
      </w:pPr>
      <w:r>
        <w:rPr>
          <w:rFonts w:ascii="Times New Roman" w:hAnsi="Times New Roman"/>
          <w:sz w:val="22"/>
        </w:rPr>
        <w:t>Antonakis, J., Bendahan, S., Jacquart, P., &amp; Lalive, R. (2010). On making causal claims: A review and recommendations. The Leadership Quarterly, 21(6), 1086–1120.</w:t>
      </w:r>
    </w:p>
    <w:p>
      <w:pPr>
        <w:ind w:left="720" w:hanging="720"/>
        <w:lnSpc>
          <w:lnSpcVal w:type="auto" w:val="288"/>
        </w:lnSpc>
      </w:pPr>
      <w:r>
        <w:rPr>
          <w:rFonts w:ascii="Times New Roman" w:hAnsi="Times New Roman"/>
          <w:sz w:val="22"/>
        </w:rPr>
        <w:t>Avenyo, E. K., Tregenna, F., &amp; Kraemer-Mbula, E. (2021). Do productive capabilities affect export performance? Microeconomic evidence from sub-Saharan Africa. The European Journal of Development Research, 33(2), 304–329.</w:t>
      </w:r>
    </w:p>
    <w:p>
      <w:pPr>
        <w:ind w:left="720" w:hanging="720"/>
        <w:lnSpc>
          <w:lnSpcVal w:type="auto" w:val="288"/>
        </w:lnSpc>
      </w:pPr>
      <w:r>
        <w:rPr>
          <w:rFonts w:ascii="Times New Roman" w:hAnsi="Times New Roman"/>
          <w:sz w:val="22"/>
        </w:rPr>
        <w:t>Banalieva, E. R. &amp; Dhanaraj, C. (2019). Internalization theory for the digital economy. Journal of International Business Studies, 50(8), 1372–1387.</w:t>
      </w:r>
    </w:p>
    <w:p>
      <w:pPr>
        <w:ind w:left="720" w:hanging="720"/>
        <w:lnSpc>
          <w:lnSpcVal w:type="auto" w:val="288"/>
        </w:lnSpc>
      </w:pPr>
      <w:r>
        <w:rPr>
          <w:rFonts w:ascii="Times New Roman" w:hAnsi="Times New Roman"/>
          <w:sz w:val="22"/>
        </w:rPr>
        <w:t>Barney, J. (1991). Firm resources and sustained competitive advantage. Journal of Management, 17(1), 99–120.</w:t>
      </w:r>
    </w:p>
    <w:p>
      <w:pPr>
        <w:ind w:left="720" w:hanging="720"/>
        <w:lnSpc>
          <w:lnSpcVal w:type="auto" w:val="288"/>
        </w:lnSpc>
      </w:pPr>
      <w:r>
        <w:rPr>
          <w:rFonts w:ascii="Times New Roman" w:hAnsi="Times New Roman"/>
          <w:sz w:val="22"/>
        </w:rPr>
        <w:t>Bernard, A. B., Jensen, J. B., Redding, S. J., &amp; Schott, P. K. (2007). Firms in international trade. Journal of Economic Perspectives, 21(3), 105–130.</w:t>
      </w:r>
    </w:p>
    <w:p>
      <w:pPr>
        <w:ind w:left="720" w:hanging="720"/>
        <w:lnSpc>
          <w:lnSpcVal w:type="auto" w:val="288"/>
        </w:lnSpc>
      </w:pPr>
      <w:r>
        <w:rPr>
          <w:rFonts w:ascii="Times New Roman" w:hAnsi="Times New Roman"/>
          <w:sz w:val="22"/>
        </w:rPr>
        <w:t>Bharadwaj, A., El Sawy, O. A., Pavlou, P. A., &amp; Venkatraman, N. (2013). Digital business strategy: Toward a next generation of insights. MIS Quarterly, 37(2), 471–482.</w:t>
      </w:r>
    </w:p>
    <w:p>
      <w:pPr>
        <w:ind w:left="720" w:hanging="720"/>
        <w:lnSpc>
          <w:lnSpcVal w:type="auto" w:val="288"/>
        </w:lnSpc>
      </w:pPr>
      <w:r>
        <w:rPr>
          <w:rFonts w:ascii="Times New Roman" w:hAnsi="Times New Roman"/>
          <w:sz w:val="22"/>
        </w:rPr>
        <w:t>Brouthers, K. D., Geisser, K. D., &amp; Rothlauf, F. (2016). Explaining the internationalization of ibusiness firms. Journal of International Business Studies, 47(5), 513–534.</w:t>
      </w:r>
    </w:p>
    <w:p>
      <w:pPr>
        <w:ind w:left="720" w:hanging="720"/>
        <w:lnSpc>
          <w:lnSpcVal w:type="auto" w:val="288"/>
        </w:lnSpc>
      </w:pPr>
      <w:r>
        <w:rPr>
          <w:rFonts w:ascii="Times New Roman" w:hAnsi="Times New Roman"/>
          <w:sz w:val="22"/>
        </w:rPr>
        <w:t>Brynjolfsson, E., Rock, D., &amp; Syverson, C. (2021). The productivity J-curve: How intangibles complement general purpose technologies. American Economic Journal: Macroeconomics, 13(1), 333–372.</w:t>
      </w:r>
    </w:p>
    <w:p>
      <w:pPr>
        <w:ind w:left="720" w:hanging="720"/>
        <w:lnSpc>
          <w:lnSpcVal w:type="auto" w:val="288"/>
        </w:lnSpc>
      </w:pPr>
      <w:r>
        <w:rPr>
          <w:rFonts w:ascii="Times New Roman" w:hAnsi="Times New Roman"/>
          <w:sz w:val="22"/>
        </w:rPr>
        <w:t>Buckley, P. J., Clegg, L. J., Cross, A. R., Liu, X., Voss, H., &amp; Zheng, P. (2007). The determinants of Chinese outward foreign direct investment. Journal of International Business Studies, 38(4), 499–518.</w:t>
      </w:r>
    </w:p>
    <w:p>
      <w:pPr>
        <w:ind w:left="720" w:hanging="720"/>
        <w:lnSpc>
          <w:lnSpcVal w:type="auto" w:val="288"/>
        </w:lnSpc>
      </w:pPr>
      <w:r>
        <w:rPr>
          <w:rFonts w:ascii="Times New Roman" w:hAnsi="Times New Roman"/>
          <w:sz w:val="22"/>
        </w:rPr>
        <w:t>Certo, S. T., Busenbark, J. R., Woo, H.-s., &amp; Semadeni, M. (2016). Sample selection bias and Heckman models in strategic management research. Strategic Management Journal, 37(13), 2639–2657.</w:t>
      </w:r>
    </w:p>
    <w:p>
      <w:pPr>
        <w:ind w:left="720" w:hanging="720"/>
        <w:lnSpc>
          <w:lnSpcVal w:type="auto" w:val="288"/>
        </w:lnSpc>
      </w:pPr>
      <w:r>
        <w:rPr>
          <w:rFonts w:ascii="Times New Roman" w:hAnsi="Times New Roman"/>
          <w:sz w:val="22"/>
        </w:rPr>
        <w:t>Cohen, J. (1988). Statistical power analysis for the behavioral sciences (2nd ed.). Lawrence Erlbaum.</w:t>
      </w:r>
    </w:p>
    <w:p>
      <w:pPr>
        <w:ind w:left="720" w:hanging="720"/>
        <w:lnSpc>
          <w:lnSpcVal w:type="auto" w:val="288"/>
        </w:lnSpc>
      </w:pPr>
      <w:r>
        <w:rPr>
          <w:rFonts w:ascii="Times New Roman" w:hAnsi="Times New Roman"/>
          <w:sz w:val="22"/>
        </w:rPr>
        <w:t>Cohen, W. M. &amp; Levinthal, D. A. (1990). Absorptive capacity: A new perspective on learning and innovation. Administrative Science Quarterly, 35(1), 128–152.</w:t>
      </w:r>
    </w:p>
    <w:p>
      <w:pPr>
        <w:ind w:left="720" w:hanging="720"/>
        <w:lnSpc>
          <w:lnSpcVal w:type="auto" w:val="288"/>
        </w:lnSpc>
      </w:pPr>
      <w:r>
        <w:rPr>
          <w:rFonts w:ascii="Times New Roman" w:hAnsi="Times New Roman"/>
          <w:sz w:val="22"/>
        </w:rPr>
        <w:t>Coltman, T., Devinney, T. M., Midgley, D. F., &amp; Venaik, S. (2008). Formative versus reflective measurement models: Two applications of formative measurement. Journal of Business Research, 61(12), 1250–1262.</w:t>
      </w:r>
    </w:p>
    <w:p>
      <w:pPr>
        <w:ind w:left="720" w:hanging="720"/>
        <w:lnSpc>
          <w:lnSpcVal w:type="auto" w:val="288"/>
        </w:lnSpc>
      </w:pPr>
      <w:r>
        <w:rPr>
          <w:rFonts w:ascii="Times New Roman" w:hAnsi="Times New Roman"/>
          <w:sz w:val="22"/>
        </w:rPr>
        <w:t>Contractor, F. J. (2007). Is international business good for companies? The evolutionary or multi-stage theory of internationalization vs. the transaction cost perspective. Management International Review, 47(3), 453–475.</w:t>
      </w:r>
    </w:p>
    <w:p>
      <w:pPr>
        <w:ind w:left="720" w:hanging="720"/>
        <w:lnSpc>
          <w:lnSpcVal w:type="auto" w:val="288"/>
        </w:lnSpc>
      </w:pPr>
      <w:r>
        <w:rPr>
          <w:rFonts w:ascii="Times New Roman" w:hAnsi="Times New Roman"/>
          <w:sz w:val="22"/>
        </w:rPr>
        <w:t>Contractor, F. J., Kundu, S. K., &amp; Hsu, C.-C. (2003). A three-stage theory of international expansion: The link between multinationality and performance in the service sector. Journal of International Business Studies, 34(1), 5–18.</w:t>
      </w:r>
    </w:p>
    <w:p>
      <w:pPr>
        <w:ind w:left="720" w:hanging="720"/>
        <w:lnSpc>
          <w:lnSpcVal w:type="auto" w:val="288"/>
        </w:lnSpc>
      </w:pPr>
      <w:r>
        <w:rPr>
          <w:rFonts w:ascii="Times New Roman" w:hAnsi="Times New Roman"/>
          <w:sz w:val="22"/>
        </w:rPr>
        <w:t>Coviello, N., Kano, L., &amp; Liesch, P. W. (2017). Adapting the Uppsala model to a modern world: Macro-context and microfoundations. Journal of International Business Studies, 48(9), 1151–1164.</w:t>
      </w:r>
    </w:p>
    <w:p>
      <w:pPr>
        <w:ind w:left="720" w:hanging="720"/>
        <w:lnSpc>
          <w:lnSpcVal w:type="auto" w:val="288"/>
        </w:lnSpc>
      </w:pPr>
      <w:r>
        <w:rPr>
          <w:rFonts w:ascii="Times New Roman" w:hAnsi="Times New Roman"/>
          <w:sz w:val="22"/>
        </w:rPr>
        <w:t>Cuervo-Cazurra, A. &amp; Genc, M. (2008). Transforming disadvantages into advantages: Developing-country MNEs in the least developed countries. Journal of International Business Studies, 39(6), 957–979.</w:t>
      </w:r>
    </w:p>
    <w:p>
      <w:pPr>
        <w:ind w:left="720" w:hanging="720"/>
        <w:lnSpc>
          <w:lnSpcVal w:type="auto" w:val="288"/>
        </w:lnSpc>
      </w:pPr>
      <w:r>
        <w:rPr>
          <w:rFonts w:ascii="Times New Roman" w:hAnsi="Times New Roman"/>
          <w:sz w:val="22"/>
        </w:rPr>
        <w:t>Demir, B. &amp; Javorcik, B. (2018). Don't throw in the towel, throw in trade credit! Journal of International Economics, 111, 177–189.</w:t>
      </w:r>
    </w:p>
    <w:p>
      <w:pPr>
        <w:ind w:left="720" w:hanging="720"/>
        <w:lnSpc>
          <w:lnSpcVal w:type="auto" w:val="288"/>
        </w:lnSpc>
      </w:pPr>
      <w:r>
        <w:rPr>
          <w:rFonts w:ascii="Times New Roman" w:hAnsi="Times New Roman"/>
          <w:sz w:val="22"/>
        </w:rPr>
        <w:t>Eden, L. &amp; Nielsen, B. B. (2020). Research methods in international business: The challenge of complexity. Journal of International Business Studies, 51(9), 1609–1620.</w:t>
      </w:r>
    </w:p>
    <w:p>
      <w:pPr>
        <w:ind w:left="720" w:hanging="720"/>
        <w:lnSpc>
          <w:lnSpcVal w:type="auto" w:val="288"/>
        </w:lnSpc>
      </w:pPr>
      <w:r>
        <w:rPr>
          <w:rFonts w:ascii="Times New Roman" w:hAnsi="Times New Roman"/>
          <w:sz w:val="22"/>
        </w:rPr>
        <w:t>Eisenhardt, K. M. &amp; Martin, J. A. (2000). Dynamic capabilities: What are they? Strategic Management Journal, 21(10–11), 1105–1121.</w:t>
      </w:r>
    </w:p>
    <w:p>
      <w:pPr>
        <w:ind w:left="720" w:hanging="720"/>
        <w:lnSpc>
          <w:lnSpcVal w:type="auto" w:val="288"/>
        </w:lnSpc>
      </w:pPr>
      <w:r>
        <w:rPr>
          <w:rFonts w:ascii="Times New Roman" w:hAnsi="Times New Roman"/>
          <w:sz w:val="22"/>
        </w:rPr>
        <w:t>Filatotchev, I., Wei, L., Sarala, R., Dick, P., &amp; Prescott, J. (2020). Connecting Eastern and Western perspectives on management: Meta-analytic insights into the role of context. Journal of Management Studies, 57(1), 1–24.</w:t>
      </w:r>
    </w:p>
    <w:p>
      <w:pPr>
        <w:ind w:left="720" w:hanging="720"/>
        <w:lnSpc>
          <w:lnSpcVal w:type="auto" w:val="288"/>
        </w:lnSpc>
      </w:pPr>
      <w:r>
        <w:rPr>
          <w:rFonts w:ascii="Times New Roman" w:hAnsi="Times New Roman"/>
          <w:sz w:val="22"/>
        </w:rPr>
        <w:t>Foley, C. F. &amp; Manova, K. (2015). International trade, multinational activity, and corporate finance. Annual Review of Economics, 7(1), 119–146.</w:t>
      </w:r>
    </w:p>
    <w:p>
      <w:pPr>
        <w:ind w:left="720" w:hanging="720"/>
        <w:lnSpc>
          <w:lnSpcVal w:type="auto" w:val="288"/>
        </w:lnSpc>
      </w:pPr>
      <w:r>
        <w:rPr>
          <w:rFonts w:ascii="Times New Roman" w:hAnsi="Times New Roman"/>
          <w:sz w:val="22"/>
        </w:rPr>
        <w:t>Goldfarb, A. &amp; Tucker, C. (2019). Digital economics. Journal of Economic Literature, 57(1), 3–43.</w:t>
      </w:r>
    </w:p>
    <w:p>
      <w:pPr>
        <w:ind w:left="720" w:hanging="720"/>
        <w:lnSpc>
          <w:lnSpcVal w:type="auto" w:val="288"/>
        </w:lnSpc>
      </w:pPr>
      <w:r>
        <w:rPr>
          <w:rFonts w:ascii="Times New Roman" w:hAnsi="Times New Roman"/>
          <w:sz w:val="22"/>
        </w:rPr>
        <w:t>Haans, R. F. J., Pieters, C., &amp; He, Z.-L. (2016). Thinking about U: Theorizing and testing U- and inverted U-shaped relationships in strategy research. Strategic Management Journal, 37(7), 1177–1195.</w:t>
      </w:r>
    </w:p>
    <w:p>
      <w:pPr>
        <w:ind w:left="720" w:hanging="720"/>
        <w:lnSpc>
          <w:lnSpcVal w:type="auto" w:val="288"/>
        </w:lnSpc>
      </w:pPr>
      <w:r>
        <w:rPr>
          <w:rFonts w:ascii="Times New Roman" w:hAnsi="Times New Roman"/>
          <w:sz w:val="22"/>
        </w:rPr>
        <w:t>Hambrick, D. C. &amp; Mason, P. A. (1984). Upper echelons: The organization as a reflection of its top managers. Academy of Management Review, 9(2), 193–206.</w:t>
      </w:r>
    </w:p>
    <w:p>
      <w:pPr>
        <w:ind w:left="720" w:hanging="720"/>
        <w:lnSpc>
          <w:lnSpcVal w:type="auto" w:val="288"/>
        </w:lnSpc>
      </w:pPr>
      <w:r>
        <w:rPr>
          <w:rFonts w:ascii="Times New Roman" w:hAnsi="Times New Roman"/>
          <w:sz w:val="22"/>
        </w:rPr>
        <w:t>Hanelt, A., Bohnsack, R., Marz, D., &amp; Antunes Marante, C. (2021). A systematic review of the literature on digital transformation: Insights and implications for strategy and organizational change. Journal of Management Studies, 58(5), 1159–1197.</w:t>
      </w:r>
    </w:p>
    <w:p>
      <w:pPr>
        <w:ind w:left="720" w:hanging="720"/>
        <w:lnSpc>
          <w:lnSpcVal w:type="auto" w:val="288"/>
        </w:lnSpc>
      </w:pPr>
      <w:r>
        <w:rPr>
          <w:rFonts w:ascii="Times New Roman" w:hAnsi="Times New Roman"/>
          <w:sz w:val="22"/>
        </w:rPr>
        <w:t>Heckman, J. J. (1979). Sample selection bias as a specification error. Econometrica, 47(1), 153–161.</w:t>
      </w:r>
    </w:p>
    <w:p>
      <w:pPr>
        <w:ind w:left="720" w:hanging="720"/>
        <w:lnSpc>
          <w:lnSpcVal w:type="auto" w:val="288"/>
        </w:lnSpc>
      </w:pPr>
      <w:r>
        <w:rPr>
          <w:rFonts w:ascii="Times New Roman" w:hAnsi="Times New Roman"/>
          <w:sz w:val="22"/>
        </w:rPr>
        <w:t>Hennart, J.-F. (2007). The theoretical rationale for a multinationality–performance relationship. Management International Review, 47(3), 423–452.</w:t>
      </w:r>
    </w:p>
    <w:p>
      <w:pPr>
        <w:ind w:left="720" w:hanging="720"/>
        <w:lnSpc>
          <w:lnSpcVal w:type="auto" w:val="288"/>
        </w:lnSpc>
      </w:pPr>
      <w:r>
        <w:rPr>
          <w:rFonts w:ascii="Times New Roman" w:hAnsi="Times New Roman"/>
          <w:sz w:val="22"/>
        </w:rPr>
        <w:t>Hennart, J.-F. (2011). A theoretical assessment of the empirical literature on the impact of multinationality on performance. Global Strategy Journal, 1(1–2), 135–151.</w:t>
      </w:r>
    </w:p>
    <w:p>
      <w:pPr>
        <w:ind w:left="720" w:hanging="720"/>
        <w:lnSpc>
          <w:lnSpcVal w:type="auto" w:val="288"/>
        </w:lnSpc>
      </w:pPr>
      <w:r>
        <w:rPr>
          <w:rFonts w:ascii="Times New Roman" w:hAnsi="Times New Roman"/>
          <w:sz w:val="22"/>
        </w:rPr>
        <w:t>Hitt, M. A., Hoskisson, R. E., &amp; Kim, H. (1997). International diversification: Effects on innovation and firm performance in product-diversified firms. Academy of Management Journal, 40(4), 767–798.</w:t>
      </w:r>
    </w:p>
    <w:p>
      <w:pPr>
        <w:ind w:left="720" w:hanging="720"/>
        <w:lnSpc>
          <w:lnSpcVal w:type="auto" w:val="288"/>
        </w:lnSpc>
      </w:pPr>
      <w:r>
        <w:rPr>
          <w:rFonts w:ascii="Times New Roman" w:hAnsi="Times New Roman"/>
          <w:sz w:val="22"/>
        </w:rPr>
        <w:t>Kano, L., Tsang, E. W. K., &amp; Yeung, H. W.-C. (2020). Global value chains: A review of the multi-disciplinary literature. Journal of International Business Studies, 51(4), 577–622.</w:t>
      </w:r>
    </w:p>
    <w:p>
      <w:pPr>
        <w:ind w:left="720" w:hanging="720"/>
        <w:lnSpc>
          <w:lnSpcVal w:type="auto" w:val="288"/>
        </w:lnSpc>
      </w:pPr>
      <w:r>
        <w:rPr>
          <w:rFonts w:ascii="Times New Roman" w:hAnsi="Times New Roman"/>
          <w:sz w:val="22"/>
        </w:rPr>
        <w:t>Karna, A., Richter, A., &amp; Riesenkampff, E. (2016). Revisiting the role of the environment in the capabilities–financial performance relationship: A meta-analysis. Strategic Management Journal, 37(6), 1154–1173.</w:t>
      </w:r>
    </w:p>
    <w:p>
      <w:pPr>
        <w:ind w:left="720" w:hanging="720"/>
        <w:lnSpc>
          <w:lnSpcVal w:type="auto" w:val="288"/>
        </w:lnSpc>
      </w:pPr>
      <w:r>
        <w:rPr>
          <w:rFonts w:ascii="Times New Roman" w:hAnsi="Times New Roman"/>
          <w:sz w:val="22"/>
        </w:rPr>
        <w:t>Knight, G. A. &amp; Liesch, P. W. (2016). Internationalization: From incremental to born global. Journal of World Business, 51(1), 93–102.</w:t>
      </w:r>
    </w:p>
    <w:p>
      <w:pPr>
        <w:ind w:left="720" w:hanging="720"/>
        <w:lnSpc>
          <w:lnSpcVal w:type="auto" w:val="288"/>
        </w:lnSpc>
      </w:pPr>
      <w:r>
        <w:rPr>
          <w:rFonts w:ascii="Times New Roman" w:hAnsi="Times New Roman"/>
          <w:sz w:val="22"/>
        </w:rPr>
        <w:t>Krammer, S. M. S., Strange, R., &amp; Lashitew, A. (2018). The export performance of emerging economy firms. International Business Review, 27(1), 218–230.</w:t>
      </w:r>
    </w:p>
    <w:p>
      <w:pPr>
        <w:ind w:left="720" w:hanging="720"/>
        <w:lnSpc>
          <w:lnSpcVal w:type="auto" w:val="288"/>
        </w:lnSpc>
      </w:pPr>
      <w:r>
        <w:rPr>
          <w:rFonts w:ascii="Times New Roman" w:hAnsi="Times New Roman"/>
          <w:sz w:val="22"/>
        </w:rPr>
        <w:t>Lakens, D., Scheel, A. M., &amp; Isager, P. M. (2018). Equivalence testing for psychological research: A tutorial. Advances in Methods and Practices in Psychological Science, 1(2), 259–269.</w:t>
      </w:r>
    </w:p>
    <w:p>
      <w:pPr>
        <w:ind w:left="720" w:hanging="720"/>
        <w:lnSpc>
          <w:lnSpcVal w:type="auto" w:val="288"/>
        </w:lnSpc>
      </w:pPr>
      <w:r>
        <w:rPr>
          <w:rFonts w:ascii="Times New Roman" w:hAnsi="Times New Roman"/>
          <w:sz w:val="22"/>
        </w:rPr>
        <w:t>Lall, S. (1992). Technological capabilities and industrialization. World Development, 20(2), 165–186.</w:t>
      </w:r>
    </w:p>
    <w:p>
      <w:pPr>
        <w:ind w:left="720" w:hanging="720"/>
        <w:lnSpc>
          <w:lnSpcVal w:type="auto" w:val="288"/>
        </w:lnSpc>
      </w:pPr>
      <w:r>
        <w:rPr>
          <w:rFonts w:ascii="Times New Roman" w:hAnsi="Times New Roman"/>
          <w:sz w:val="22"/>
        </w:rPr>
        <w:t>Lind, J. T. &amp; Mehlum, H. (2010). With or without U? The appropriate test for a U-shaped relationship. Oxford Bulletin of Economics and Statistics, 72(1), 109–118.</w:t>
      </w:r>
    </w:p>
    <w:p>
      <w:pPr>
        <w:ind w:left="720" w:hanging="720"/>
        <w:lnSpc>
          <w:lnSpcVal w:type="auto" w:val="288"/>
        </w:lnSpc>
      </w:pPr>
      <w:r>
        <w:rPr>
          <w:rFonts w:ascii="Times New Roman" w:hAnsi="Times New Roman"/>
          <w:sz w:val="22"/>
        </w:rPr>
        <w:t>Lu, J. W. &amp; Beamish, P. W. (2004). International diversification and firm performance: The S-curve hypothesis. Academy of Management Journal, 47(4), 598–609.</w:t>
      </w:r>
    </w:p>
    <w:p>
      <w:pPr>
        <w:ind w:left="720" w:hanging="720"/>
        <w:lnSpc>
          <w:lnSpcVal w:type="auto" w:val="288"/>
        </w:lnSpc>
      </w:pPr>
      <w:r>
        <w:rPr>
          <w:rFonts w:ascii="Times New Roman" w:hAnsi="Times New Roman"/>
          <w:sz w:val="22"/>
        </w:rPr>
        <w:t>MacKinnon, J. G. &amp; White, H. (1985). Some heteroskedasticity-consistent covariance matrix estimators with improved finite sample properties. Journal of Econometrics, 29(3), 305–325.</w:t>
      </w:r>
    </w:p>
    <w:p>
      <w:pPr>
        <w:ind w:left="720" w:hanging="720"/>
        <w:lnSpc>
          <w:lnSpcVal w:type="auto" w:val="288"/>
        </w:lnSpc>
      </w:pPr>
      <w:r>
        <w:rPr>
          <w:rFonts w:ascii="Times New Roman" w:hAnsi="Times New Roman"/>
          <w:sz w:val="22"/>
        </w:rPr>
        <w:t>Manova, K. (2013). Credit constraints, heterogeneous firms, and international trade. Review of Economic Studies, 80(2), 711–744.</w:t>
      </w:r>
    </w:p>
    <w:p>
      <w:pPr>
        <w:ind w:left="720" w:hanging="720"/>
        <w:lnSpc>
          <w:lnSpcVal w:type="auto" w:val="288"/>
        </w:lnSpc>
      </w:pPr>
      <w:r>
        <w:rPr>
          <w:rFonts w:ascii="Times New Roman" w:hAnsi="Times New Roman"/>
          <w:sz w:val="22"/>
        </w:rPr>
        <w:t>Marano, V., Arregle, J.-L., Hitt, M. A., Spadafora, E., &amp; van Essen, M. (2016). Home country institutions and the internationalization–performance relationship: A meta-analytic review. Journal of Management, 42(5), 1075–1110.</w:t>
      </w:r>
    </w:p>
    <w:p>
      <w:pPr>
        <w:ind w:left="720" w:hanging="720"/>
        <w:lnSpc>
          <w:lnSpcVal w:type="auto" w:val="288"/>
        </w:lnSpc>
      </w:pPr>
      <w:r>
        <w:rPr>
          <w:rFonts w:ascii="Times New Roman" w:hAnsi="Times New Roman"/>
          <w:sz w:val="22"/>
        </w:rPr>
        <w:t>Meyer, K. E., van Witteloostuijn, A., &amp; Beugelsdijk, S. (2017). What's in a p? Reassessing best practices for conducting and reporting hypothesis-testing research. Journal of International Business Studies, 48(5), 535–551.</w:t>
      </w:r>
    </w:p>
    <w:p>
      <w:pPr>
        <w:ind w:left="720" w:hanging="720"/>
        <w:lnSpc>
          <w:lnSpcVal w:type="auto" w:val="288"/>
        </w:lnSpc>
      </w:pPr>
      <w:r>
        <w:rPr>
          <w:rFonts w:ascii="Times New Roman" w:hAnsi="Times New Roman"/>
          <w:sz w:val="22"/>
        </w:rPr>
        <w:t>Nambisan, S., Wright, M., &amp; Feldman, M. (2019). The digital transformation of innovation and entrepreneurship: Progress, challenges and key themes. Research Policy, 48(8), 103773.</w:t>
      </w:r>
    </w:p>
    <w:p>
      <w:pPr>
        <w:ind w:left="720" w:hanging="720"/>
        <w:lnSpc>
          <w:lnSpcVal w:type="auto" w:val="288"/>
        </w:lnSpc>
      </w:pPr>
      <w:r>
        <w:rPr>
          <w:rFonts w:ascii="Times New Roman" w:hAnsi="Times New Roman"/>
          <w:sz w:val="22"/>
        </w:rPr>
        <w:t>Niepmann, F. &amp; Schmidt-Eisenlohr, T. (2017). International trade, risk and the role of banks. Journal of International Economics, 107, 111–126.</w:t>
      </w:r>
    </w:p>
    <w:p>
      <w:pPr>
        <w:ind w:left="720" w:hanging="720"/>
        <w:lnSpc>
          <w:lnSpcVal w:type="auto" w:val="288"/>
        </w:lnSpc>
      </w:pPr>
      <w:r>
        <w:rPr>
          <w:rFonts w:ascii="Times New Roman" w:hAnsi="Times New Roman"/>
          <w:sz w:val="22"/>
        </w:rPr>
        <w:t>O'Brien, R. M. (2007). A caution regarding rules of thumb for variance inflation factors. Quality &amp; Quantity, 41(5), 673–690.</w:t>
      </w:r>
    </w:p>
    <w:p>
      <w:pPr>
        <w:ind w:left="720" w:hanging="720"/>
        <w:lnSpc>
          <w:lnSpcVal w:type="auto" w:val="288"/>
        </w:lnSpc>
      </w:pPr>
      <w:r>
        <w:rPr>
          <w:rFonts w:ascii="Times New Roman" w:hAnsi="Times New Roman"/>
          <w:sz w:val="22"/>
        </w:rPr>
        <w:t>Oster, E. (2019). Unobservable selection and coefficient stability: Theory and evidence. Journal of Business &amp; Economic Statistics, 37(2), 187–204.</w:t>
      </w:r>
    </w:p>
    <w:p>
      <w:pPr>
        <w:ind w:left="720" w:hanging="720"/>
        <w:lnSpc>
          <w:lnSpcVal w:type="auto" w:val="288"/>
        </w:lnSpc>
      </w:pPr>
      <w:r>
        <w:rPr>
          <w:rFonts w:ascii="Times New Roman" w:hAnsi="Times New Roman"/>
          <w:sz w:val="22"/>
        </w:rPr>
        <w:t>Paternoster, R., Brame, R., Mazerolle, P., &amp; Piquero, A. (1998). Using the correct statistical test for the equality of regression coefficients. Criminology, 36(4), 859–866.</w:t>
      </w:r>
    </w:p>
    <w:p>
      <w:pPr>
        <w:ind w:left="720" w:hanging="720"/>
        <w:lnSpc>
          <w:lnSpcVal w:type="auto" w:val="288"/>
        </w:lnSpc>
      </w:pPr>
      <w:r>
        <w:rPr>
          <w:rFonts w:ascii="Times New Roman" w:hAnsi="Times New Roman"/>
          <w:sz w:val="22"/>
        </w:rPr>
        <w:t>Peng, M. W. (2003). Institutional transitions and strategic choices. Academy of Management Review, 28(2), 275–296.</w:t>
      </w:r>
    </w:p>
    <w:p>
      <w:pPr>
        <w:ind w:left="720" w:hanging="720"/>
        <w:lnSpc>
          <w:lnSpcVal w:type="auto" w:val="288"/>
        </w:lnSpc>
      </w:pPr>
      <w:r>
        <w:rPr>
          <w:rFonts w:ascii="Times New Roman" w:hAnsi="Times New Roman"/>
          <w:sz w:val="22"/>
        </w:rPr>
        <w:t>Peng, M. W., Wang, D. Y. L., &amp; Jiang, Y. (2008). An institution-based view of international business strategy: A focus on emerging economies. Journal of International Business Studies, 39(5), 920–936.</w:t>
      </w:r>
    </w:p>
    <w:p>
      <w:pPr>
        <w:ind w:left="720" w:hanging="720"/>
        <w:lnSpc>
          <w:lnSpcVal w:type="auto" w:val="288"/>
        </w:lnSpc>
      </w:pPr>
      <w:r>
        <w:rPr>
          <w:rFonts w:ascii="Times New Roman" w:hAnsi="Times New Roman"/>
          <w:sz w:val="22"/>
        </w:rPr>
        <w:t>Petricevic, O. &amp; Teece, D. J. (2019). The structural reshaping of globalization: Implications for strategic sectors, profiting from innovation, and the multinational enterprise. Journal of International Business Studies, 50(9), 1487–1512.</w:t>
      </w:r>
    </w:p>
    <w:p>
      <w:pPr>
        <w:ind w:left="720" w:hanging="720"/>
        <w:lnSpc>
          <w:lnSpcVal w:type="auto" w:val="288"/>
        </w:lnSpc>
      </w:pPr>
      <w:r>
        <w:rPr>
          <w:rFonts w:ascii="Times New Roman" w:hAnsi="Times New Roman"/>
          <w:sz w:val="22"/>
        </w:rPr>
        <w:t>Pierce, J. R. &amp; Aguinis, H. (2013). The too-much-of-a-good-thing effect in management. Journal of Management, 39(2), 313–338.</w:t>
      </w:r>
    </w:p>
    <w:p>
      <w:pPr>
        <w:ind w:left="720" w:hanging="720"/>
        <w:lnSpc>
          <w:lnSpcVal w:type="auto" w:val="288"/>
        </w:lnSpc>
      </w:pPr>
      <w:r>
        <w:rPr>
          <w:rFonts w:ascii="Times New Roman" w:hAnsi="Times New Roman"/>
          <w:sz w:val="22"/>
        </w:rPr>
        <w:t>Rugman, A. M. &amp; Verbeke, A. (2004). A perspective on regional and global strategies of multinational enterprises. Journal of International Business Studies, 35(1), 3–18.</w:t>
      </w:r>
    </w:p>
    <w:p>
      <w:pPr>
        <w:ind w:left="720" w:hanging="720"/>
        <w:lnSpc>
          <w:lnSpcVal w:type="auto" w:val="288"/>
        </w:lnSpc>
      </w:pPr>
      <w:r>
        <w:rPr>
          <w:rFonts w:ascii="Times New Roman" w:hAnsi="Times New Roman"/>
          <w:sz w:val="22"/>
        </w:rPr>
        <w:t>Schwens, C., Zapkau, F., Bierwerth, M., Isidor, R., Knight, G., &amp; Kabst, R. (2018). International entrepreneurship: A meta–analysis on the internationalization and performance relationship. Entrepreneurship Theory and Practice, 42(5), 734–768.</w:t>
      </w:r>
    </w:p>
    <w:p>
      <w:pPr>
        <w:ind w:left="720" w:hanging="720"/>
        <w:lnSpc>
          <w:lnSpcVal w:type="auto" w:val="288"/>
        </w:lnSpc>
      </w:pPr>
      <w:r>
        <w:rPr>
          <w:rFonts w:ascii="Times New Roman" w:hAnsi="Times New Roman"/>
          <w:sz w:val="22"/>
        </w:rPr>
        <w:t>Shaver, J. M. (2020). Causal identification through a cumulative body of research in the study of strategy and organizations. Journal of Management, 46(7), 1244–1256.</w:t>
      </w:r>
    </w:p>
    <w:p>
      <w:pPr>
        <w:ind w:left="720" w:hanging="720"/>
        <w:lnSpc>
          <w:lnSpcVal w:type="auto" w:val="288"/>
        </w:lnSpc>
      </w:pPr>
      <w:r>
        <w:rPr>
          <w:rFonts w:ascii="Times New Roman" w:hAnsi="Times New Roman"/>
          <w:sz w:val="22"/>
        </w:rPr>
        <w:t>Stallkamp, M. &amp; Schotter, A. P. J. (2021). Platforms without borders? The international strategies of digital platform firms. Global Strategy Journal, 11(1), 58–80.</w:t>
      </w:r>
    </w:p>
    <w:p>
      <w:pPr>
        <w:ind w:left="720" w:hanging="720"/>
        <w:lnSpc>
          <w:lnSpcVal w:type="auto" w:val="288"/>
        </w:lnSpc>
      </w:pPr>
      <w:r>
        <w:rPr>
          <w:rFonts w:ascii="Times New Roman" w:hAnsi="Times New Roman"/>
          <w:sz w:val="22"/>
        </w:rPr>
        <w:t>Strange, R. &amp; Zucchella, A. (2017). Industry 4.0, global value chains and international business. Multinational Business Review, 25(3), 174–184.</w:t>
      </w:r>
    </w:p>
    <w:p>
      <w:pPr>
        <w:ind w:left="720" w:hanging="720"/>
        <w:lnSpc>
          <w:lnSpcVal w:type="auto" w:val="288"/>
        </w:lnSpc>
      </w:pPr>
      <w:r>
        <w:rPr>
          <w:rFonts w:ascii="Times New Roman" w:hAnsi="Times New Roman"/>
          <w:sz w:val="22"/>
        </w:rPr>
        <w:t>Teece, D. J. (2007). Explicating dynamic capabilities: The nature and microfoundations of (sustainable) enterprise performance. Strategic Management Journal, 28(13), 1319–1350.</w:t>
      </w:r>
    </w:p>
    <w:p>
      <w:pPr>
        <w:ind w:left="720" w:hanging="720"/>
        <w:lnSpc>
          <w:lnSpcVal w:type="auto" w:val="288"/>
        </w:lnSpc>
      </w:pPr>
      <w:r>
        <w:rPr>
          <w:rFonts w:ascii="Times New Roman" w:hAnsi="Times New Roman"/>
          <w:sz w:val="22"/>
        </w:rPr>
        <w:t>Vahlne, J.-E. (2020). Development of the Uppsala model of internationalization process: From internationalization to evolution. Global Strategy Journal, 10(2), 239–250.</w:t>
      </w:r>
    </w:p>
    <w:p>
      <w:pPr>
        <w:ind w:left="720" w:hanging="720"/>
        <w:lnSpc>
          <w:lnSpcVal w:type="auto" w:val="288"/>
        </w:lnSpc>
      </w:pPr>
      <w:r>
        <w:rPr>
          <w:rFonts w:ascii="Times New Roman" w:hAnsi="Times New Roman"/>
          <w:sz w:val="22"/>
        </w:rPr>
        <w:t>Vahlne, J.-E. &amp; Johanson, J. (2017). From internationalization to evolution: The Uppsala model at 40 years. Journal of International Business Studies, 48(9), 1087–1102.</w:t>
      </w:r>
    </w:p>
    <w:p>
      <w:pPr>
        <w:ind w:left="720" w:hanging="720"/>
        <w:lnSpc>
          <w:lnSpcVal w:type="auto" w:val="288"/>
        </w:lnSpc>
      </w:pPr>
      <w:r>
        <w:rPr>
          <w:rFonts w:ascii="Times New Roman" w:hAnsi="Times New Roman"/>
          <w:sz w:val="22"/>
        </w:rPr>
        <w:t>Verhoef, P. C., Broekhuizen, T., Bart, Y., Bhattacharya, A., Dong, J. Q., Fabian, N., &amp; Haenlein, M. (2021). Digital transformation: A multidisciplinary reflection and research agenda. Journal of Business Research, 122, 889–901.</w:t>
      </w:r>
    </w:p>
    <w:p>
      <w:pPr>
        <w:ind w:left="720" w:hanging="720"/>
        <w:lnSpc>
          <w:lnSpcVal w:type="auto" w:val="288"/>
        </w:lnSpc>
      </w:pPr>
      <w:r>
        <w:rPr>
          <w:rFonts w:ascii="Times New Roman" w:hAnsi="Times New Roman"/>
          <w:sz w:val="22"/>
        </w:rPr>
        <w:t>Vernon, R. (1979). The product cycle hypothesis in a new international environment. Oxford Bulletin of Economics and Statistics, 41(4), 255–267.</w:t>
      </w:r>
    </w:p>
    <w:p>
      <w:pPr>
        <w:ind w:left="720" w:hanging="720"/>
        <w:lnSpc>
          <w:lnSpcVal w:type="auto" w:val="288"/>
        </w:lnSpc>
      </w:pPr>
      <w:r>
        <w:rPr>
          <w:rFonts w:ascii="Times New Roman" w:hAnsi="Times New Roman"/>
          <w:sz w:val="22"/>
        </w:rPr>
        <w:t>Vial, G. (2019). Understanding digital transformation: A review and a research agenda. Journal of Strategic Information Systems, 28(2), 118–144.</w:t>
      </w:r>
    </w:p>
    <w:p>
      <w:pPr>
        <w:ind w:left="720" w:hanging="720"/>
        <w:lnSpc>
          <w:lnSpcVal w:type="auto" w:val="288"/>
        </w:lnSpc>
      </w:pPr>
      <w:r>
        <w:rPr>
          <w:rFonts w:ascii="Times New Roman" w:hAnsi="Times New Roman"/>
          <w:sz w:val="22"/>
        </w:rPr>
        <w:t>Volberda, H. W., Khanagha, S., Baden-Fuller, C., Mihalache, O. R., &amp; Birkinshaw, J. (2021). Strategizing in a digital world: Overcoming cognitive barriers, reconfiguring routines and introducing new organizational forms. Long Range Planning, 54(5), 102110.</w:t>
      </w:r>
    </w:p>
    <w:p>
      <w:pPr>
        <w:ind w:left="720" w:hanging="720"/>
        <w:lnSpc>
          <w:lnSpcVal w:type="auto" w:val="288"/>
        </w:lnSpc>
      </w:pPr>
      <w:r>
        <w:rPr>
          <w:rFonts w:ascii="Times New Roman" w:hAnsi="Times New Roman"/>
          <w:sz w:val="22"/>
        </w:rPr>
        <w:t>Wagner, J. (2007). Exports and productivity: A survey of the evidence from firm-level data. The World Economy, 30(1), 60–82.</w:t>
      </w:r>
    </w:p>
    <w:p>
      <w:pPr>
        <w:ind w:left="720" w:hanging="720"/>
        <w:lnSpc>
          <w:lnSpcVal w:type="auto" w:val="288"/>
        </w:lnSpc>
      </w:pPr>
      <w:r>
        <w:rPr>
          <w:rFonts w:ascii="Times New Roman" w:hAnsi="Times New Roman"/>
          <w:sz w:val="22"/>
        </w:rPr>
        <w:t>Williamson, O. E. (1985). The economic institutions of capitalism. Free Press.</w:t>
      </w:r>
    </w:p>
    <w:p>
      <w:pPr>
        <w:ind w:left="720" w:hanging="720"/>
        <w:lnSpc>
          <w:lnSpcVal w:type="auto" w:val="288"/>
        </w:lnSpc>
      </w:pPr>
      <w:r>
        <w:rPr>
          <w:rFonts w:ascii="Times New Roman" w:hAnsi="Times New Roman"/>
          <w:sz w:val="22"/>
        </w:rPr>
        <w:t>Wolfolds, S. E. &amp; Siegel, J. (2019). Misaccounting for endogeneity: The peril of relying on the Heckman two-step method without a valid instrument. Strategic Management Journal, 40(3), 432–462.</w:t>
      </w:r>
    </w:p>
    <w:p>
      <w:pPr>
        <w:ind w:left="720" w:hanging="720"/>
        <w:lnSpc>
          <w:lnSpcVal w:type="auto" w:val="288"/>
        </w:lnSpc>
      </w:pPr>
      <w:r>
        <w:rPr>
          <w:rFonts w:ascii="Times New Roman" w:hAnsi="Times New Roman"/>
          <w:sz w:val="22"/>
        </w:rPr>
        <w:t>Wooldridge, J. M. (2010). Econometric analysis of cross section and panel data (2nd ed.). MIT Press.</w:t>
      </w:r>
    </w:p>
    <w:p>
      <w:pPr>
        <w:ind w:left="720" w:hanging="720"/>
        <w:lnSpc>
          <w:lnSpcVal w:type="auto" w:val="288"/>
        </w:lnSpc>
      </w:pPr>
      <w:r>
        <w:rPr>
          <w:rFonts w:ascii="Times New Roman" w:hAnsi="Times New Roman"/>
          <w:sz w:val="22"/>
        </w:rPr>
        <w:t>World Bank. (2010). Vietnam Enterprise Survey 2009: Data file. Enterprise Surveys, World Bank Group.</w:t>
      </w:r>
    </w:p>
    <w:p>
      <w:pPr>
        <w:ind w:left="720" w:hanging="720"/>
        <w:lnSpc>
          <w:lnSpcVal w:type="auto" w:val="288"/>
        </w:lnSpc>
      </w:pPr>
      <w:r>
        <w:rPr>
          <w:rFonts w:ascii="Times New Roman" w:hAnsi="Times New Roman"/>
          <w:sz w:val="22"/>
        </w:rPr>
        <w:t>World Bank. (2016). Vietnam Enterprise Survey 2015: Data file. Enterprise Surveys, World Bank Group.</w:t>
      </w:r>
    </w:p>
    <w:p>
      <w:pPr>
        <w:ind w:left="720" w:hanging="720"/>
        <w:lnSpc>
          <w:lnSpcVal w:type="auto" w:val="288"/>
        </w:lnSpc>
      </w:pPr>
      <w:r>
        <w:rPr>
          <w:rFonts w:ascii="Times New Roman" w:hAnsi="Times New Roman"/>
          <w:sz w:val="22"/>
        </w:rPr>
        <w:t>World Bank. (2024a). Vietnam Enterprise Survey 2023: Data file. Enterprise Surveys, World Bank Group.</w:t>
      </w:r>
    </w:p>
    <w:p>
      <w:pPr>
        <w:ind w:left="720" w:hanging="720"/>
        <w:lnSpc>
          <w:lnSpcVal w:type="auto" w:val="288"/>
        </w:lnSpc>
      </w:pPr>
      <w:r>
        <w:rPr>
          <w:rFonts w:ascii="Times New Roman" w:hAnsi="Times New Roman"/>
          <w:sz w:val="22"/>
        </w:rPr>
        <w:t>World Bank. (2024b). World Bank Enterprise Survey: Singapore 2023. https://www.enterprisesurveys.org</w:t>
      </w:r>
    </w:p>
    <w:p>
      <w:pPr>
        <w:ind w:left="720" w:hanging="720"/>
        <w:lnSpc>
          <w:lnSpcVal w:type="auto" w:val="288"/>
        </w:lnSpc>
      </w:pPr>
      <w:r>
        <w:rPr>
          <w:rFonts w:ascii="Times New Roman" w:hAnsi="Times New Roman"/>
          <w:sz w:val="22"/>
        </w:rPr>
        <w:t>World Bank. (2024c). China Enterprise Survey 2024: Data file. Enterprise Surveys, World Bank Group.</w:t>
      </w:r>
    </w:p>
    <w:p>
      <w:pPr>
        <w:ind w:left="720" w:hanging="720"/>
        <w:lnSpc>
          <w:lnSpcVal w:type="auto" w:val="288"/>
        </w:lnSpc>
      </w:pPr>
      <w:r>
        <w:rPr>
          <w:rFonts w:ascii="Times New Roman" w:hAnsi="Times New Roman"/>
          <w:sz w:val="22"/>
        </w:rPr>
        <w:t>Wright, M., Filatotchev, I., Hoskisson, R. E., &amp; Peng, M. W. (2005). Strategy research in emerging economies: Challenging the conventional wisdom. Journal of Management Studies, 42(1), 1–33.</w:t>
      </w:r>
    </w:p>
    <w:p>
      <w:pPr>
        <w:ind w:left="720" w:hanging="720"/>
        <w:lnSpc>
          <w:lnSpcVal w:type="auto" w:val="288"/>
        </w:lnSpc>
      </w:pPr>
      <w:r>
        <w:rPr>
          <w:rFonts w:ascii="Times New Roman" w:hAnsi="Times New Roman"/>
          <w:sz w:val="22"/>
        </w:rPr>
        <w:t>Wu, J., Wang, C., Hong, J., Piperopoulos, P., &amp; Zhuo, S. (2016). Internationalization and innovation performance of emerging market enterprises: The role of host-country institutional development. Journal of World Business, 51(2), 251–263.</w:t>
      </w:r>
    </w:p>
    <w:sectPr w:rsidR="00FC693F" w:rsidRPr="0006063C" w:rsidSect="00034616">
      <w:footerReference w:type="default" r:id="rId9"/>
      <w:pgSz w:w="11906" w:h="16838"/>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20"/>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