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v1.9 (BLINDED) — submission to Asia Pacific Journal of Management (APJM) [or alternative target — see SUBMISSION_TARGETS.md]</w:t>
      </w:r>
    </w:p>
    <w:p>
      <w:pPr>
        <w:pStyle w:val="BodyText"/>
      </w:pPr>
      <w:r>
        <w:rPr>
          <w:iCs/>
          <w:i/>
        </w:rPr>
        <w:t xml:space="preserve">2026-05-06 (v1.9 biên tập: cite Đỗ &amp; Phan 2025 ICBEF + 2026 VEFR + 2026 JFAR; add Highlights + JEL + Manuscript classification)</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 This study examines whether the inverted U‑shaped relationship between export intensity and firm performance among Chinese private firms is</w:t>
      </w:r>
      <w:r>
        <w:t xml:space="preserve"> </w:t>
      </w:r>
      <w:r>
        <w:rPr>
          <w:bCs/>
          <w:b/>
        </w:rPr>
        <w:t xml:space="preserve">structurally durable or wave-specific</w:t>
      </w:r>
      <w:r>
        <w:t xml:space="preserve">, and clarifies the role of technological capability and foundational digital adoption in shaping this relationship.</w:t>
      </w:r>
    </w:p>
    <w:p>
      <w:pPr>
        <w:pStyle w:val="BodyText"/>
      </w:pPr>
      <w:r>
        <w:rPr>
          <w:bCs/>
          <w:b/>
        </w:rPr>
        <w:t xml:space="preserve">Design/methodology/approach</w:t>
      </w:r>
      <w:r>
        <w:t xml:space="preserve"> </w:t>
      </w:r>
      <w:r>
        <w:t xml:space="preserve">— Drawing on World Bank Enterprise Survey microdata for China (2012, N = 2,619; 2024, N = 1,940; pooled N = 4,559), we estimate quadratic models with full cross-wave and capability interactions. The data reject a predicted shift: cross‑wave Paternoster (1998) z‑tests do not reject equality of the linear and squared export‑intensity coefficients (FSTS z = +0.82, p = .412; FSTS² z = −0.61, p = .545), and the pooled joint F-test on the (FSTS × wave_2024, FSTS² × wave_2024) interactions yields F(2, 3,558) = 2.24, p = .107.</w:t>
      </w:r>
    </w:p>
    <w:p>
      <w:pPr>
        <w:pStyle w:val="BodyText"/>
      </w:pPr>
      <w:r>
        <w:rPr>
          <w:bCs/>
          <w:b/>
        </w:rPr>
        <w:t xml:space="preserve">Findings</w:t>
      </w:r>
      <w:r>
        <w:t xml:space="preserve"> </w:t>
      </w:r>
      <w:r>
        <w:t xml:space="preserve">— Estimated turning points remain in a remarkably tight range — 49.4 % of total sales in 2012, 47.2 % in 2024, and 48.8 % in the pooled sample, with overlapping 95 % delta‑method confidence intervals. Technological capability is robustly associated with higher productivity in both waves (β_z = +0.28 in 2012 and +0.43 in 2024; both p &lt; .001), and a single‑item digital‑presence proxy (own website) is positively associated with productivity in 2024 and the pooled sample (β_z = +0.07, p = .04 in 2024; β_z = +0.06, p = .006 pooled), but neither construct robustly moderates the curvature of the inverted-U: the joint F‑test on capability×curvature interactions (F = 3.26, p = .039) is marginal, individual coefficients are not significant, and the three‑way capability×wave×curvature dynamic moderation test returns F = 0.27, p = .760.</w:t>
      </w:r>
    </w:p>
    <w:p>
      <w:pPr>
        <w:pStyle w:val="BodyText"/>
      </w:pPr>
      <w:r>
        <w:t>Originality/value — H2b (structural durability) is confirmed over H2a (environmental shift): despite substantial structural change in China between 2012 and 2024, cross-wave tests support the thesis that the Chinese internationalization–performance trade-off is durably structural rather than wave-specific or capability-conditioned. The contribution recasts the inverted-U threshold from a sample-specific regularity into an enduring structural feature of the setting; null capability curvature moderation and unstable working-capital analyses reinforce this interpretation. The findings also extend the China-specific cubic baseline of Đỗ and Phan (2026 — JFAR) and the multi-country emerging-Asia synthesis of Đỗ and Phan (2026 — VEFR) by adding a temporal-stability dimension.</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 FSTS²), and the joint F-test on (FSTS × wave_2024, FSTS² × wave_2024) yields p = .107.</w:t>
      </w:r>
    </w:p>
    <w:p>
      <w:pPr>
        <w:numPr>
          <w:ilvl w:val="0"/>
          <w:numId w:val="1001"/>
        </w:numPr>
      </w:pPr>
      <w:r>
        <w:rPr>
          <w:bCs/>
          <w:b/>
        </w:rPr>
        <w:t xml:space="preserve">Technological capability</w:t>
      </w:r>
      <w:r>
        <w:t xml:space="preserve"> </w:t>
      </w:r>
      <w:r>
        <w:t xml:space="preserve">(TCI_full) is positively associated with productivity in both waves (β_z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t>Basic digital presence (DAI_core, single-item website-presence proxy) shows modest positive associations with productivity in 2024 and the pooled sample (β_z = +0.07 to +0.06) but is retained as a baseline control rather than a formal hypothesis, given the limited discriminatory power of a single binary website indicator in 2024 China.</w:t>
      </w:r>
    </w:p>
    <w:p>
      <w:pPr>
        <w:numPr>
          <w:ilvl w:val="0"/>
          <w:numId w:val="1001"/>
        </w:numPr>
      </w:pPr>
      <w:r>
        <w:t>H2b (structural durability) is confirmed over H2a (environmental shift):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1"/>
        </w:numPr>
      </w:pPr>
      <w:r>
        <w:t xml:space="preserve">The findings extend the China cubic baseline of Đỗ and Phan (2026 — JFAR) and the 17-country emerging-Asia synthesis of Đỗ and Phan (2026 — VEFR) with a within-country temporal-stability dimension previously absent from the literature.</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The relationship between firm internationalization and firm performance remains one of the most enduring questions in international business research. Although a substantial empirical literature — including several meta‑analyses spanning multiple decades and country contexts — now favors a nonlinear inverted U‑shape, with performance rising at low to moderate levels of internationalization and declining once foreign exposure becomes excessive (Hitt, Hoskisson, &amp; Kim, 1997; Contractor, Kundu, &amp; Hsu, 2003; Lu &amp; Beamish, 2004; Marano, Arregle, Hitt, Spadafora, &amp; van Essen, 2016; Schwens et al., 2018; Đỗ &amp; Phan, 2025), a more demanding question is whether the implied turning point is a</w:t>
      </w:r>
      <w:r>
        <w:t xml:space="preserve"> </w:t>
      </w:r>
      <w:r>
        <w:rPr>
          <w:iCs/>
          <w:i/>
        </w:rPr>
        <w:t xml:space="preserve">durable structural feature</w:t>
      </w:r>
      <w:r>
        <w:t xml:space="preserve"> </w:t>
      </w:r>
      <w:r>
        <w:t xml:space="preserve">of a setting or simply a sample‑specific regularity that may evolve as institutional and competitive conditions change. The</w:t>
      </w:r>
      <w:r>
        <w:t xml:space="preserve"> </w:t>
      </w:r>
      <w:r>
        <w:t xml:space="preserve">“</w:t>
      </w:r>
      <w:r>
        <w:t xml:space="preserve">too‑much‑of‑a‑good‑thing</w:t>
      </w:r>
      <w:r>
        <w:t xml:space="preserve">”</w:t>
      </w:r>
      <w:r>
        <w:t xml:space="preserve"> </w:t>
      </w:r>
      <w:r>
        <w:t xml:space="preserve">pattern is by now well established in management research (Pierce &amp; Aguinis, 2013), but its temporal robustness within a single national context has rarely been examined. For private firms operating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 the two waves examined here — the Chinese economy underwent extraordinary structural transformation. The post‑2008 trade re‑equilibration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also matured over this period in the WBES sample: average firm age in our analytic samples rose from 12.6 to 13.9 years, and average labour productivity (log scale) rose from 12.52 to 13.01 — corresponding to roughly a 64 % productivity premium in level terms (exp(0.49) ≈ 1.64). Under conventional internationalization theory, several of these changes should have shifted the inverted‑U turning point — by raising the productive returns to internationalization at the upper tail (capability strengthening), softening the post‑threshold downturn (improved trade finance), or both. Whether the predicted shift actually materialises is an empirical question that has not been directly tested for China in the post‑GFC, post‑COVID period.</w:t>
      </w:r>
    </w:p>
    <w:p>
      <w:pPr>
        <w:pStyle w:val="BodyText"/>
      </w:pPr>
      <w:r>
        <w:t xml:space="preserve">A complementary empirical foundation is provided by Đỗ and Phan (2026 — JFAR), who establish a cubic non-monotonic export-intensity-to-performance relationship for Chinese manufacturing SMEs in the 2012 wave, locating the principal turning point at approximately 47.8 % of total sales. The present paper extends that single-wave cubic baseline by (a) testing whether the threshold pattern persists into the 2024 wave under structurally different macroeconomic and digital conditions, (b) adopting a quadratic specification with explicit cross-wave parameter-equality tests rather than a single-wave cubic, and (c) decomposing capability into orthogonal technological and digital dimensions to evaluate construct-specific moderation. The broader context for the present study is also set by Đỗ and Phan (2026 — VEFR), whose 17-country emerging-Asia synthesis documents heterogeneity in firm-level performance patterns across institutional regimes; the present paper holds country fixed and asks the within-China temporal-stability question that the cross-country design cannot directly address.</w:t>
      </w:r>
    </w:p>
    <w:p>
      <w:pPr>
        <w:pStyle w:val="BodyText"/>
      </w:pPr>
      <w:r>
        <w:t xml:space="preserve">This study examines the internationalization–performance relationship among Chinese private firms across two waves of the World Bank Enterprise Survey (WBES) — 2012 and 2024 — separated by more than a decade of substantial structural change. Three motivations frame the inquiry. First,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behavior is therefore a non‑trivial empirical contribution beyond the standard inverted‑U claim (Haans, Pieters, &amp; He, 2016). Second, the IB literature increasingly recognises that the post‑threshold downturn may reflect not only generic coordination costs (Hennart, 2007; Contractor, 2007) but also more specific financial frictions — such as cash‑conversion lengthening, foreign‑receivables exposure, and credit‑constraint binding for trade‑finance access — that intensify as export intensity rises (Manova, 2013; Foley &amp; Manova, 2015; Niepmann &amp; Schmidt-Eisenlohr, 2017; Demir &amp; Javorcik, 2018). Third, the growing role of digital adoption and technological capability in firm productivity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but available WBES indicators capture lower‑tier digital adoption rather than full dynamic digital capability. Disentangling these three threads — temporal stability, financial mechanism, and capability role — is the analytical agenda of the present paper.</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the China–US tariff escalation cycle, the COVID-19 disruption, the maturation of digital infrastructure (Đỗ &amp; Phan, 2026 — VEFR),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we frame our second hypothesis as a</w:t>
      </w:r>
      <w:r>
        <w:t xml:space="preserve"> </w:t>
      </w:r>
      <w:r>
        <w:rPr>
          <w:iCs/>
          <w:i/>
        </w:rPr>
        <w:t xml:space="preserve">predicted shift</w:t>
      </w:r>
      <w:r>
        <w:t xml:space="preserve"> </w:t>
      </w:r>
      <w:r>
        <w:t xml:space="preserve">and let the data speak.</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 × wave_2024, FSTS² × wave_2024), (FSTS × Tech, FSTS² × Tech), and (FSTS × wave_2024 × Tech, FSTS² × wave_2024 × 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The paper makes four contributions. First, we identify and characterise an optimal export‑intensity threshold for Chinese private firms at approximately 48 % of total sales, with a managerially relevant safe operating zone of 30 % to 60 %. This complements the 47.8 % cubic turning point reported by Đỗ and Phan (2026 — JFAR) for Chinese manufacturing SMEs by extending the analysis to the full WBES private-firm frame and to a second wave a decade later. Second — and as the paper’s central contribution — we provide cross‑wave evidence that this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(capability×curvature, capability×wave×curvature, working capital × curvature) converge on the same substantive interpretation. Third, we document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we contribute to the broader meta-analytic puzzle in IB by showing that within-country temporal stability is consistent with cross-country institutional context — rather than within-country evolution — being the dominant source of effect-size heterogeneity reported in prior reviews (Marano et al., 2016; Schwens et al., 2018; Filatotchev, Wei, Sarala, Dick, &amp; Prescott, 2020; Đỗ &amp; Phan, 2025). We also offer a working‑capital‑trap interpretation of the post‑threshold downturn (Manova, 2013) as theoretically grounded but not directly identified in our data, and we mark direct testing with WBES items k4–k14 as a priority for future research.</w:t>
      </w:r>
    </w:p>
    <w:p>
      <w:pPr>
        <w:pStyle w:val="BodyText"/>
      </w:pPr>
      <w:r>
        <w:t xml:space="preserve">The remainder of the paper proceeds as follows. Section 2 develops the theoretical framework and four hypotheses, including the dissertation-architecture-aligned reframing of H2 as a</w:t>
      </w:r>
      <w:r>
        <w:t xml:space="preserve"> </w:t>
      </w:r>
      <w:r>
        <w:rPr>
          <w:iCs/>
          <w:i/>
        </w:rPr>
        <w:t xml:space="preserve">predicted shift</w:t>
      </w:r>
      <w:r>
        <w:t xml:space="preserve">.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and identifies four substantive theoretical contributions. Section 6 acknowledges limitations and identifies future research directions.</w:t>
      </w:r>
    </w:p>
    <w:bookmarkEnd w:id="22"/>
    <w:bookmarkStart w:id="28" w:name="theory-and-hypotheses"/>
    <w:p>
      <w:pPr>
        <w:pStyle w:val="Heading2"/>
      </w:pPr>
      <w:r>
        <w:t xml:space="preserve">2. Theory and Hypotheses</w:t>
      </w:r>
    </w:p>
    <w:bookmarkStart w:id="23" w:name="X4f45e5b70910083c028d4155f6a1fbe1987364b"/>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 a pattern that fits the broader</w:t>
      </w:r>
      <w:r>
        <w:t xml:space="preserve"> </w:t>
      </w:r>
      <w:r>
        <w:t xml:space="preserve">“</w:t>
      </w:r>
      <w:r>
        <w:t xml:space="preserve">too‑much‑of‑a‑good‑thing</w:t>
      </w:r>
      <w:r>
        <w:t xml:space="preserve">”</w:t>
      </w:r>
      <w:r>
        <w:t xml:space="preserve"> </w:t>
      </w:r>
      <w:r>
        <w:t xml:space="preserve">tradition in management research (Pierce &amp; Aguinis, 2013; Haans, Pieters, &amp; He, 2016) —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5f39400f44964cc6ae6baafbeb169e79571dfa6"/>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an enduring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(Đỗ &amp; Phan, 2026 — VEFR),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 including export-credit insurance, working-capital lending reform, and trade-finance access —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 β₂ on FSTS² in the 2024 sample should be smaller in magnitude (closer to zero) than in 2012 —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These mechanisms motivate a directional H2a prediction of cross-wave shift. However, an equally plausible counter-argument — which we formalise as H2b — holds that the inverted-U threshold reflects deep firm-level constraints rather than time-specific institutional conditions. If the post-threshold downturn is driven primarily by coordination capacity, financial slack, and organisational depth (Hennart, 2007; Buckley et al., 2007) — structural features that change only slowly at the firm level —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 an outcome constituting a positive structural-durability finding rather than a methodological failure. Placing H2a and H2b as competing hypotheses provides the most informative empirical design.</w:t>
      </w:r>
    </w:p>
    <w:p>
      <w:pPr>
        <w:pStyle w:val="BlockText"/>
      </w:pPr>
      <w:r>
        <w:t>Hypothesis 2a (H2a). 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t>Hypothesis 2b (H2b). The shape of the inverted U‑shaped relationship between export intensity and firm performance among Chinese private firms is structurally durable across the 2012 and 2024 waves, reflecting deep firm-level constraints — coordination capacity, financial slack, and organisational depth — that persist despite environmental change.</w:t>
      </w:r>
    </w:p>
    <w:bookmarkEnd w:id="24"/>
    <w:bookmarkStart w:id="25" w:name="Xa2221e2440866fb6a42cd32a3216e0b88dd00c3"/>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 including overdraft facilities, formal lines of credit, or bank‑funded working‑capital arrangements —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lockText"/>
      </w:pPr>
      <w:r>
        <w:t>These working-capital dynamics are a theoretically coherent mechanism for the post-threshold downturn. However, given the limited cross-wave comparability of available WBES proxies — notably the absence of the best receivables-exposure indicators (k1c, k2c) from the 2024 release — this channel is not formalised as a testable hypothesis in the present paper. The supplementary working-capital analyses reported in §4.5 probe this mechanism descriptively, and the theoretical argument is carried forward in the Discussion (§5.2) as the primary candidate for future research.</w:t>
      </w:r>
    </w:p>
    <w:bookmarkEnd w:id="25"/>
    <w:bookmarkStart w:id="26" w:name="X023349e6b491fb5689e583f990bf7c1da56d077"/>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 captured in the Lall (1992) absorptive‑capacity tradition by foreign‑licensed technology, internationally‑recognised quality certification, product innovation, and R&amp;D activity —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 making the marginal cost of further internationalization rise more slowly than for less capable firms (Cohen &amp; Levinthal, 1990; Teece, 2007).</w:t>
      </w:r>
    </w:p>
    <w:p>
      <w:pPr>
        <w:pStyle w:val="BodyText"/>
      </w:pPr>
      <w:r>
        <w:t xml:space="preserve">Digital adoption — captured by lower‑tier digital indicators such as website presence and electronic‑payment usage —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(Đỗ &amp; Phan, 2026 — VEFR). This dynamic-moderation prediction is directly testable through the three-way DOI × wave_2024 × Tech specification described in §3.5.</w:t>
      </w:r>
    </w:p>
    <w:p>
      <w:pPr>
        <w:pStyle w:val="BodyText"/>
      </w:pPr>
      <w:r>
        <w:t xml:space="preserve">It is important to note that the WBES capability indicators are</w:t>
      </w:r>
      <w:r>
        <w:t xml:space="preserve"> </w:t>
      </w:r>
      <w:r>
        <w:rPr>
          <w:iCs/>
          <w:i/>
        </w:rPr>
        <w:t xml:space="preserve">lower-tier</w:t>
      </w:r>
      <w:r>
        <w:t xml:space="preserve"> </w:t>
      </w:r>
      <w:r>
        <w:t xml:space="preserve">operationalisations of the underlying constructs. TCI_full proxies absorptive-capacity stock through four binary indicators (foreign-licensed technology, quality certification, product innovation, R&amp;D activity), while DAI_core captures only Tier-1 digital presence (own website). Both proxies have been used in the WBES research tradition (Avenyo, Tregenna, &amp; Kraemer-Mbula, 2021; Đỗ &amp; Phan, 2026 — VEFR),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BlockText"/>
      </w:pPr>
      <w:r>
        <w:t>Given that DAI_core in the present WBES data reduces to a single binary item — c22b (own-website presence) —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 H4b is not formalised as a testable hypothesis in the present paper. DAI_core 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26"/>
    <w:bookmarkStart w:id="27" w:name="conceptual-model"/>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 FSTS² terms (H2 directional shift). Working‑capital condition (H3) is shown as a dashed block to signal its secondary, exploratory role: the present paper does not test the working‑capital channel as the central mechanism but instead treats it as a theoretically grounded conditioner of the post‑threshold downturn whose direct identification awaits richer financial microdata. Technological capability (H4a) and digital adoption (H4b) enter the model as both direct level‑shift conditions and moderators of curvature. Controls flow into the outcome through a separate path. The visual hierarchy of Figure 1 reflects the architectural priority of the paper: H1 and H2 (solid arrows) are the primary curvature and shift predictions, while H3 and the H4 moderation arms are exploratory.</w:t>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 FSTS²; technological capability TCI; digital adoption DAI; controls; outcome ln(LP)); a wave2024 dummy explicitly enters the model. Solid arrows mark the primary directional hypotheses (H1 inverted‑U curvature; H2 temporal shift via wave×FSTS interactions; H4a TCI level shift and curvature moderation; H4b DAI level shift and curvature moderation). The dashed working‑capital block (H3) and dashed dynamic-moderation arrows reflect exploratory tests evaluated in §4.5.</w:t>
      </w:r>
    </w:p>
    <w:bookmarkEnd w:id="27"/>
    <w:bookmarkEnd w:id="28"/>
    <w:bookmarkStart w:id="35" w:name="data-and-methods"/>
    <w:p>
      <w:pPr>
        <w:pStyle w:val="Heading2"/>
      </w:pPr>
      <w:r>
        <w:t xml:space="preserve">3. Data and Methods</w:t>
      </w:r>
    </w:p>
    <w:bookmarkStart w:id="29" w:name="data"/>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analytic samples reported throughout this paper (2012, N = 2,619; 2024, N = 1,940; pooled, N = 4,559) are constructed from the full WBES private‑firm frame for each wave, with World Bank nonresponse codes (−9 and −7 in 2012; −9, −8, and −7 in 2024) recoded as missing on focal variables and listwise deletion applied across</w:t>
      </w:r>
      <w:r>
        <w:t xml:space="preserve">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w:t>
      </w:r>
      <w:r>
        <w:t xml:space="preserve"> </w:t>
      </w:r>
      <w:r>
        <w:rPr>
          <w:rStyle w:val="VerbatimChar"/>
        </w:rPr>
        <w:t xml:space="preserve">lnEmp</w:t>
      </w:r>
      <w:r>
        <w:t xml:space="preserve">, firm age, and the foreign‑ownership indicator.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t xml:space="preserve">The WBES microdata are publicly available from https://www.enterprisesurveys.org/en/data 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 www.enterprisesurveys.org.</w:t>
      </w:r>
    </w:p>
    <w:bookmarkEnd w:id="29"/>
    <w:bookmarkStart w:id="30" w:name="variables"/>
    <w:p>
      <w:pPr>
        <w:pStyle w:val="Heading3"/>
      </w:pPr>
      <w:r>
        <w:t xml:space="preserve">3.2 Variables</w:t>
      </w:r>
    </w:p>
    <w:p>
      <w:pPr>
        <w:pStyle w:val="FirstParagraph"/>
      </w:pPr>
      <w:r>
        <w:t xml:space="preserve">The dependent variable is log labour productivity, lnLP =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 FSTS² capturing the inverted‑U curvature.</w:t>
      </w:r>
    </w:p>
    <w:p>
      <w:pPr>
        <w:pStyle w:val="BodyText"/>
      </w:pPr>
      <w:r>
        <w:t xml:space="preserve">Two construct composites enter the model as both direct effects and (per H4a/H4b) as candidate moderators of curvature:</w:t>
      </w:r>
    </w:p>
    <w:p>
      <w:pPr>
        <w:pStyle w:val="BodyText"/>
      </w:pPr>
      <w:r>
        <w:rPr>
          <w:bCs/>
          <w:b/>
        </w:rPr>
        <w:t xml:space="preserve">TCI_full</w:t>
      </w:r>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 TCI_full requires at least three of four items to be non‑missing.</w:t>
      </w:r>
    </w:p>
    <w:p>
      <w:pPr>
        <w:pStyle w:val="BodyText"/>
      </w:pPr>
      <w:r>
        <w:rPr>
          <w:bCs/>
          <w:b/>
        </w:rPr>
        <w:t xml:space="preserve">DAI_core</w:t>
      </w:r>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 DAI_core specification we now adopt operationalises Tier 1 digital presence cleanly across the 2012 and 2024 waves; DAI_core should be read as a minimal cross‑wave digital‑adoption proxy rather than a full dynamic digital capability index, and e6 is reserved for the TCI composite where it belongs theoretically.</w:t>
      </w:r>
    </w:p>
    <w:p>
      <w:pPr>
        <w:pStyle w:val="BodyText"/>
      </w:pPr>
      <w:r>
        <w:t>WBES caveat on DAI_core. 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 DAI_core is retained in the specifications as a control to absorb the website-presence component of productivity variation rather than as a theoretically motivated moderator. Associations between DAI_core and productivity should be interpreted as reflecting baseline digital presence, not dynamic digital capability.</w:t>
      </w:r>
    </w:p>
    <w:p>
      <w:pPr>
        <w:pStyle w:val="BodyText"/>
      </w:pPr>
      <w:r>
        <w:rPr>
          <w:bCs/>
          <w:b/>
        </w:rPr>
        <w:t xml:space="preserve">Controls</w:t>
      </w:r>
      <w:r>
        <w:t xml:space="preserve"> </w:t>
      </w:r>
      <w:r>
        <w:t xml:space="preserve">include log permanent employees (lnEmp), firm age (survey year minus b5), and a foreign‑ownership dummy (1 if b2b ≥ 10 %). The pooled specification additionally includes a wave_2024 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§3.4), we operationalise three blocks of cross‑wave‑comparable WBES items:</w:t>
      </w:r>
    </w:p>
    <w:p>
      <w:pPr>
        <w:numPr>
          <w:ilvl w:val="0"/>
          <w:numId w:val="1002"/>
        </w:numPr>
        <w:pStyle w:val="Compact"/>
      </w:pPr>
      <w:r>
        <w:rPr>
          <w:bCs/>
          <w:b/>
        </w:rPr>
        <w:t xml:space="preserve">Block A — Liquidity Access:</w:t>
      </w:r>
      <w:r>
        <w:t xml:space="preserve"> </w:t>
      </w:r>
      <w:r>
        <w:t xml:space="preserve">overdraft facility (k7, binary recoded to 1 = yes), line of credit / loan (k8 in 2012, k82 in 2024 — harmonised binary by collapsing 2024’s four‑level ordinal k82 ∈ {1, 2} into 1).</w:t>
      </w:r>
    </w:p>
    <w:p>
      <w:pPr>
        <w:numPr>
          <w:ilvl w:val="0"/>
          <w:numId w:val="1002"/>
        </w:numPr>
        <w:pStyle w:val="Compact"/>
      </w:pPr>
      <w:r>
        <w:rPr>
          <w:bCs/>
          <w:b/>
        </w:rPr>
        <w:t xml:space="preserve">Block C —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w:t>
      </w:r>
      <w:r>
        <w:t xml:space="preserve"> </w:t>
      </w:r>
      <w:r>
        <w:t xml:space="preserve">“</w:t>
      </w:r>
      <w:r>
        <w:t xml:space="preserve">don’t know</w:t>
      </w:r>
      <w:r>
        <w:t xml:space="preserve">”</w:t>
      </w:r>
      <w:r>
        <w:t xml:space="preserve"> </w:t>
      </w:r>
      <w:r>
        <w:t xml:space="preserve">and -7 for refusal in many items; the 2024 release additionally separates -8 for refusal from -9 for don’t know. These codes are treated as missing in the present analysis, restoring methodological alignment with the WBES codebook guidance.</w:t>
      </w:r>
    </w:p>
    <w:bookmarkEnd w:id="30"/>
    <w:bookmarkStart w:id="31" w:name="estimation"/>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(β_A − β_B) / √(SE_A² + SE_B²), with two‑sided p‑values from the standard normal distribution; the Paternoster z-test on individual coefficients is complemented by joint F-tests on the two-coefficient (FSTS × wave_2024, FSTS² × wave_2024) blocks of the pooled three-way specification (see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1"/>
    <w:bookmarkStart w:id="32" w:name="Xa25e2a2cdd79e96c4e0f09e817d617fe3a5e905"/>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2"/>
    <w:bookmarkStart w:id="33" w:name="three-way-moderation-specification"/>
    <w:p>
      <w:pPr>
        <w:pStyle w:val="Heading3"/>
      </w:pPr>
      <w:r>
        <w:t xml:space="preserve">3.5 Three-way moderation specification</w:t>
      </w:r>
    </w:p>
    <w:p>
      <w:pPr>
        <w:pStyle w:val="FirstParagraph"/>
      </w:pPr>
      <w:r>
        <w:t xml:space="preserve">To test the directional shift hypothesis (H2), the cross-sectional capability moderation hypothesis (H4a/H4b curvature components), and the dynamic capability-conditioned moderation hypothesis introduced in §2.4 within a single internally consistent framework, we estimate the following pooled specification on the joint sample of firms reporting all focal variables (sample_full, N = 3,559):</w:t>
      </w:r>
    </w:p>
    <w:p>
      <w:pPr>
        <w:pStyle w:val="SourceCode"/>
      </w:pPr>
      <w:r>
        <w:rPr>
          <w:rStyle w:val="VerbatimChar"/>
        </w:rPr>
        <w:t xml:space="preserve">lnLP = β₀ + β₁·FSTS + β₂·FSTS² + β₃·wave_2024</w:t>
      </w:r>
      <w:r>
        <w:br/>
      </w:r>
      <w:r>
        <w:rPr>
          <w:rStyle w:val="VerbatimChar"/>
        </w:rPr>
        <w:t xml:space="preserve">     + β₄·FSTS×wave_2024 + β₅·FSTS²×wave_2024</w:t>
      </w:r>
      <w:r>
        <w:br/>
      </w:r>
      <w:r>
        <w:rPr>
          <w:rStyle w:val="VerbatimChar"/>
        </w:rPr>
        <w:t xml:space="preserve">     + β₆·Tech + β₇·FSTS×Tech + β₈·FSTS²×Tech</w:t>
      </w:r>
      <w:r>
        <w:br/>
      </w:r>
      <w:r>
        <w:rPr>
          <w:rStyle w:val="VerbatimChar"/>
        </w:rPr>
        <w:t xml:space="preserve">     + β₉·FSTS×wave_2024×Tech + β₁₀·FSTS²×wave_2024×Tech</w:t>
      </w:r>
      <w:r>
        <w:br/>
      </w:r>
      <w:r>
        <w:rPr>
          <w:rStyle w:val="VerbatimChar"/>
        </w:rPr>
        <w:t xml:space="preserve">     + γ·Controls + ε</w:t>
      </w:r>
    </w:p>
    <w:p>
      <w:pPr>
        <w:pStyle w:val="FirstParagraph"/>
      </w:pPr>
      <w:r>
        <w:t xml:space="preserve">where Tech = TCI_full (within-wave z-standardised) and Controls = lnEmp + firmage + foreigndummy. Standard errors are cluster-robust on</w:t>
      </w:r>
      <w:r>
        <w:t xml:space="preserve"> </w:t>
      </w:r>
      <w:r>
        <w:rPr>
          <w:rStyle w:val="VerbatimChar"/>
        </w:rPr>
        <w:t xml:space="preserve">idstd</w:t>
      </w:r>
      <w:r>
        <w:t xml:space="preserve">. The three focal joint F-tests are:</w:t>
      </w:r>
    </w:p>
    <w:p>
      <w:pPr>
        <w:numPr>
          <w:ilvl w:val="0"/>
          <w:numId w:val="1003"/>
        </w:numPr>
        <w:pStyle w:val="Compact"/>
      </w:pPr>
      <w:r>
        <w:t>F1: cross-wave shift / structural durability (H2a vs H2b). Test β₄ = β₅ = 0.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 β₇ = β₈ = 0.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 β₉ = β₁₀ = 0. Non-rejection means there is no Tech-conditioned shift in curvature over time.</w:t>
      </w:r>
    </w:p>
    <w:p>
      <w:pPr>
        <w:pStyle w:val="FirstParagraph"/>
      </w:pPr>
      <w:r>
        <w:t xml:space="preserve">Lind &amp; Mehlum (2010) U-tests are applied to each wave separately to validate the inverted-U formally; delta-method 95 % confidence intervals for the wave-specific turning points are reported alongside.</w:t>
      </w:r>
    </w:p>
    <w:bookmarkEnd w:id="33"/>
    <w:bookmarkStart w:id="34" w:name="X18a089881b53dc3b64e92824e3f92e158739695"/>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§4.7) and is computationally feasible from the WBES weight variables.</w:t>
      </w:r>
    </w:p>
    <w:p>
      <w:pPr>
        <w:pStyle w:val="BodyText"/>
      </w:pPr>
      <w:r>
        <w:t xml:space="preserve">Second,</w:t>
      </w:r>
      <w:r>
        <w:t xml:space="preserve"> </w:t>
      </w:r>
      <w:r>
        <w:rPr>
          <w:bCs/>
          <w:b/>
        </w:rPr>
        <w:t xml:space="preserve">the panel firm complication</w:t>
      </w:r>
      <w:r>
        <w:t xml:space="preserve"> </w:t>
      </w:r>
      <w:r>
        <w:t xml:space="preserve">— 217 firms in the 2024 wave were re-interviewed from 2012 —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 a 1.9 percentage-point change well within the 95 % delta-method CI of the main estimate — and the Paternoster z-tests retain the same direction and significance pattern as in the main pool (see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§4.7 robustness and find that the FSTS and FSTS² 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4"/>
    <w:bookmarkEnd w:id="35"/>
    <w:bookmarkStart w:id="43" w:name="results"/>
    <w:p>
      <w:pPr>
        <w:pStyle w:val="Heading2"/>
      </w:pPr>
      <w:r>
        <w:t xml:space="preserve">4. Results</w:t>
      </w:r>
    </w:p>
    <w:bookmarkStart w:id="36" w:name="descriptive-statistics"/>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 an upward level shift of approximately one-half of a log point, consistent with general productivity growth between waves — and mean export intensity of 5.2 % (SD 18.3 %), with 12.6 % of firms reporting positive direct exports. Mean firm size (lnEmp)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w:r>
              <w:t xml:space="preserve">lnEmp —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 TCI_full and the decontaminated DAI_core 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bookmarkEnd w:id="36"/>
    <w:bookmarkStart w:id="37" w:name="Xd85240ff54ae87493049e41d59d8ad29c305dc0"/>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(β = +2.07, p &lt; .001 in 2012; β = +1.50, p = .010 in 2024; β = +1.78, p &lt; .001 pooled), and the squared export‑intensity term is negative in every sample (β = −2.09, p &lt; .001 in 2012; β = −1.59, p = .026 in 2024; β =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w:r>
              <w:t xml:space="preserve">FSTS²</w:t>
            </w:r>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w:r>
              <w:t xml:space="preserve">lnEmp</w:t>
            </w:r>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 i.e., 67 % and 42 % productivity premia respectively at the geometric-mean control levels. By contrast, at FSTS = 1 (a hypothetical 100 % exporter), predicted ln(LP) is approximately at parity with the FSTS = 0 baseline in both waves, illustrating the bounded-optimum logic at the heart of H1.</w:t>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 lnLP ~ FSTS + FSTS² + lnEmp + firm_age + foreign_dummy (+ wave_2024); vertical bars are 95 % delta-method confidence intervals.</w:t>
      </w:r>
    </w:p>
    <w:bookmarkEnd w:id="37"/>
    <w:bookmarkStart w:id="38" w:name="X1ec8f0ff82bd6f62a13e92742fb12de58c30428"/>
    <w:p>
      <w:pPr>
        <w:pStyle w:val="Heading3"/>
      </w:pPr>
      <w:r>
        <w:t>4.3 Competing mechanism test: H2b supported — structural durability confirmed</w:t>
      </w:r>
    </w:p>
    <w:p>
      <w:pPr>
        <w:pStyle w:val="FirstParagraph"/>
      </w:pPr>
      <w:r>
        <w:t>H2a predicted that the shape, slope, or location of the inverted U‑shaped relationship should differ between 2012 and 2024, motivated by the substantial structural and policy changes in the Chinese economy over the intervening decade (§2.2). H2b predicted structural durability: that the inverted-U reflects deep firm-level constraints that persist through environmental change. To test between them we apply two complementary tests: the Paternoster (1998) z‑test on individual coefficients, and a joint F‑test on the full set of (FSTS × wave_2024, FSTS² × wave_2024)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 FSTS² term, the difference yields z = −0.61, p = .545. The joint F‑test on the (FSTS × wave_2024, FSTS² × wave_2024) interactions in the pooled three‑way moderation specification yields F(2, 3,558) = 2.24, p = .107, also failing to reject equality at conventional thresholds (Table 3).</w:t>
      </w:r>
    </w:p>
    <w:p>
      <w:pPr>
        <w:pStyle w:val="BodyText"/>
      </w:pPr>
      <w:r>
        <w:t>The data support H2b (structural durability) over H2a (environmental shift). Despite multiple plausible mechanisms motivating H2a — post-2008 trade re-equilibration, China–US tariff escalation, COVID-19 disruption, and evolving trade-finance institutions — the data show no detectable curvature shift. Combined with the tight overlap of the turning‑point CIs in Figure 2 and the closeness of the point estimates in the threshold table, the evidence indicates that the export‑intensity threshold for Chinese private firms is structurally stable across the 2012 and 2024 waves. This confirms H2b: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w:t>
      </w:r>
      <w:r>
        <w:t xml:space="preserve"> </w:t>
      </w:r>
      <w:r>
        <w:t xml:space="preserve">“</w:t>
      </w:r>
      <w:r>
        <w:t xml:space="preserve">safe operating zone</w:t>
      </w:r>
      <w:r>
        <w:t xml:space="preserve">”</w:t>
      </w:r>
      <w:r>
        <w:t xml:space="preserve"> </w:t>
      </w:r>
      <w:r>
        <w:t xml:space="preserve">of 30 % to 60 % export intensity within which the predicted lnLP remains close to its peak in both waves. The two curves are nearly parallel in shape but level‑shifted upward in 2024, consistent with general productivity growth between waves while the inverted‑U structure is preserved — i.e., predicted shift is rejected; observed pattern is stability.</w:t>
      </w:r>
    </w:p>
    <w:bookmarkEnd w:id="38"/>
    <w:bookmarkStart w:id="39" w:name="Xe27df4f3679567a1604522dfa9fc657c8b621c1"/>
    <w:p>
      <w:pPr>
        <w:pStyle w:val="Heading3"/>
      </w:pPr>
      <w:r>
        <w:t>4.4 Capability conditions: H4a — robust level shifts, weak curvature moderation; DAI_core 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 β_z = +0.260 in 2012 (SE = 0.049, p &lt; .001), β_z = +0.426 in 2024 (SE = 0.047, p &lt; .001), and β_z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 consistent with the absorptive-capacity logic that capability accumulation has compounded into rising productivity dividends as Chinese exporters faced rising international-competition demands. Digital adoption (DAI_core) is also positively associated with productivity, modestly (β_z = +0.05 to +0.13, p ≤ .03), supporting the level‑shift component of H4b.</w:t>
      </w:r>
    </w:p>
    <w:p>
      <w:pPr>
        <w:pStyle w:val="BodyText"/>
      </w:pPr>
      <w:r>
        <w:t>The curvature‑moderation component of H4a is tested by adding TCI×FSTS and TCI×FSTS² interactions to the pooled three‑way moderation specification (Table 3). The joint F‑test on (TCI×FSTS, TCI×FSTS²) yields F(2, 3,558) = 3.26, p = .039 — marginally significant — but neither individual interaction coefficient is statistically distinguishable from zero (TCI×FSTS β = −0.41, p = .443; TCI×FSTS² β = +0.05, p = .934). Wave-by-wave moderator tests (Online Appendix C) show that no individual TCI or DAI interaction coefficient achieves p &lt; .05 in any wave‑specific specification. DAI×FSTS interactions are tested for completeness but interpreted descriptively given DAI_core's control role. We therefore interpret the curvature‑moderation component of H4a as not robustly supported: while the joint F‑test hints at some pooled moderation, the individual coefficient pattern and wave‑by‑wave instability suggest that TCI operates primarily as a level‑shifter rather than as a curvature moderator.</w:t>
      </w:r>
    </w:p>
    <w:p>
      <w:pPr>
        <w:pStyle w:val="BodyText"/>
      </w:pPr>
      <w:r>
        <w:t xml:space="preserve">The dynamic moderation hypothesis — that capability‑conditioned curvature shifts evolve over time — is tested via the three‑way joint F‑test on (FSTS×wave_2024×TCI, FSTS²×wave_2024×TCI)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N = 3,559 (sample_full). Cluster-robust SE on idstd. Controls (lnEmp, firmage, foreigndummy) included.</w:t>
        <w:br/>
        <w:t>F1 corresponds to H2a vs H2b (cross-wave shift vs structural durability); F2 to H4a cross-sectional curvature moderation; F3 to capability-conditioned dynamic moderation.</w:t>
      </w:r>
    </w:p>
    <w:p>
      <w:pPr>
        <w:pStyle w:val="BlockText"/>
      </w:pPr>
      <w:r>
        <w:rPr>
          <w:bCs/>
          <w:b/>
        </w:rPr>
        <w:t xml:space="preserve">Figure 4.</w:t>
      </w:r>
      <w:r>
        <w:t xml:space="preserve"> </w:t>
      </w:r>
      <w:r>
        <w:t xml:space="preserve">Direct level‑shift coefficients of technological capability (TCI_full) and digital adoption (DAI_core) by wave for Chinese private firms. Bars are within‑wave z‑standardised coefficients from the OLS‑HC1 specification with FSTS, FSTS², lnEmp, firm age, foreign‑ownership dummy, and (in the pooled sample) a wave dummy as covariates. Error bars are 95 % confidence intervals.</w:t>
      </w:r>
    </w:p>
    <w:bookmarkEnd w:id="39"/>
    <w:bookmarkStart w:id="40" w:name="Xa6332d05042c621382c03b8bfbd2e46403a0f8c"/>
    <w:p>
      <w:pPr>
        <w:pStyle w:val="Heading3"/>
      </w:pPr>
      <w:r>
        <w:t>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In Block A (Liquidity Access), the overdraft × FSTS² interaction is marginally positive in 2012 (β = +0.27, p = .050) but marginally negative in 2024 (β = −0.38, p = .081). In Block C (Financing Structure), the trade-credit×FSTS² interaction is significantly negative in 2012 (β = −0.017, p = .009) but null in 2024 (p = .660). In Block D (Access‑to‑Finance Obstacle), the obstacle×FSTS² interaction is unexpectedly large and positive in 2024 (β = +1.64, p = .001) but null in 2012 — reading this as a small‑cell anomaly rather than evidence of mechanism. The 2012‑only Block B receivables-exposure extension yields null interactions for both k1c and k2c. Across all blocks, the working-capital mechanism is not identified as a robust cross-wave moderator as a robust cross-wave mechanism, consistent with the broader pattern that no curvature-moderating force operates reliably across the 2012-2024 window.</w:t>
      </w:r>
    </w:p>
    <w:p>
      <w:pPr>
        <w:pStyle w:val="BodyText"/>
      </w:pPr>
      <w:r>
        <w:t>These supplementary analyses, together with the H2a vs H2b test and the H4a moderation results, converge on a single substantive interpretation: the Chinese internationalization-performance trade-off is durably structural, not capability-conditioned or wave-specific. H2b (structural durability) is confirmed over H2a; working-capital and capability curvature interactions return null or unstable evidence; only the inverted-U shape itself (H1) and the direct level-shift role of technological capability emerge as robust patterns.</w:t>
      </w:r>
    </w:p>
    <w:bookmarkEnd w:id="40"/>
    <w:bookmarkStart w:id="41" w:name="robustness-manufacturing-only-subsample"/>
    <w:p>
      <w:pPr>
        <w:pStyle w:val="Heading3"/>
      </w:pPr>
      <w:r>
        <w:t xml:space="preserve">4.6 Robustness —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 FSTS²).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 bounded inverted-U, durably stable across waves, capability as level-shifter — survives the restriction. Results from the manufacturing-only specification appear in Online Appendix D.</w:t>
      </w:r>
    </w:p>
    <w:bookmarkEnd w:id="41"/>
    <w:bookmarkStart w:id="42" w:name="samplesize-and-specification-robustness"/>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 FSTS² 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 a 1.9 percentage-point shift — and leaves the Paternoster z-tests unchanged in both sign and significance. The shift is modest and remains well within the 95 % delta-method CI of the main estimate.</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42"/>
    <w:bookmarkEnd w:id="43"/>
    <w:bookmarkStart w:id="49" w:name="discussion"/>
    <w:p>
      <w:pPr>
        <w:pStyle w:val="Heading2"/>
      </w:pPr>
      <w:r>
        <w:t xml:space="preserve">5. Discussion</w:t>
      </w:r>
    </w:p>
    <w:bookmarkStart w:id="44" w:name="Xea799fb15e722540b726ae7ef2eaff8ef5f64eb"/>
    <w:p>
      <w:pPr>
        <w:pStyle w:val="Heading3"/>
      </w:pPr>
      <w:r>
        <w:t xml:space="preserve">5.1 Durability against expected shift: the principal contribution</w:t>
      </w:r>
    </w:p>
    <w:p>
      <w:pPr>
        <w:pStyle w:val="FirstParagraph"/>
      </w:pPr>
      <w:r>
        <w:t>The discussion is clearest when the paper is read as a study of structural durability against an expected temporal shift. We predicted in H2a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(Đỗ &amp; Phan, 2026 — VEFR; Manova, 2013; Foley &amp; Manova, 2015; Niepmann &amp; Schmidt-Eisenlohr, 2017; Demir &amp; Javorcik, 2018). Under any of these mechanisms, the turning point or the curvature should have shifted (H2a). The alternative H2b predicted that none of these mechanisms would be sufficient to shift the deeply structural inverted-U.</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 49.4 % in 2012, 47.2 % in 2024, 48.8 % in the pooled sample — with overlapping 95 % confidence intervals across all three samples (Figure 2).</w:t>
      </w:r>
    </w:p>
    <w:p>
      <w:pPr>
        <w:pStyle w:val="BodyText"/>
      </w:pPr>
      <w:r>
        <w:t xml:space="preserve">The substantive contribution of the paper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theoretically and managerially. Theoretically, it suggests that the inverted-U is grounded in deeply structural firm-level constraints — coordination capacity, financial slack, organizational depth —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w:t>
      </w:r>
      <w:r>
        <w:t xml:space="preserve">(approximately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 TCI is associated with substantially higher productivity (β_z = +0.26 to +0.43, p &lt; .001 in every wave) and DAI shows modest positive level shifts (β_z = +0.05 to +0.13, p ≤ .03 across waves and pooled). But the curvature-moderation evidence is weak: the joint F-test on TCI×FSTS 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 clearly not supported.</w:t>
      </w:r>
    </w:p>
    <w:p>
      <w:pPr>
        <w:pStyle w:val="BodyText"/>
      </w:pPr>
      <w:r>
        <w:t>The supplementary working-capital analyses (§5.2) tell the same story. Despite multiple plausible directional priors — Manova (2013), Foley and Manova (2015) — the cross-wave moderation evidence fragments across proxies and waves. Some coefficients move in theoretically plausible directions, most notably the trade-credit×FSTS² interaction in 2012 (β = −0.017, p = .009), but the broader pattern is too inconsistent across blocks and waves to support a stronger inference. We retain the working-capital interpretation as a theoretically grounded explanation rather than as a directly established empirical channel, and we explicitly identify the integration of richer financial microdata (cash-conversion cycle, days-receivable-outstanding, trade-finance pricing) as priority for future research.</w:t>
      </w:r>
    </w:p>
    <w:p>
      <w:pPr>
        <w:pStyle w:val="BodyText"/>
      </w:pPr>
      <w:r>
        <w:t>The confirmation of H2b over H2a, together with null capability curvature moderation and unstable working-capital interactions, makes the principal contribution sharper rather than weaker. The Chinese internationalization-performance trade-off is what it is: a durably bounded inverted-U whose location and shape are not measurably moved by wave, financial proxy, or capability stock. This is a stronger empirical claim than the standard inverted-U literature delivers, and it directly addresses the heterogeneity question raised in the broader internationalization-performance meta-analytic literature (Đỗ &amp; Phan, 2025 — ICBEF; Bausch &amp; Krist, 2007; Kirca et al., 2012; Marano et al., 2016; Schwens et al., 2018) — namely, that the very large between-study heterogeneity (I² ≈ 88 %) reported in those reviews may reflect cross-country institutional variation rather than within-country temporal change. By holding country fixed and testing the temporal dimension, the present design isolates the latter and finds it small, consistent with an interpretation in which institutional context (Filatotchev, Wei, Sarala, Dick, &amp; Prescott, 2020) drives more of the observed effect-size dispersion than within-country evolution does.</w:t>
      </w:r>
    </w:p>
    <w:bookmarkEnd w:id="44"/>
    <w:bookmarkStart w:id="45" w:name="managerial-implications"/>
    <w:p>
      <w:pPr>
        <w:pStyle w:val="Heading3"/>
      </w:pPr>
      <w:r>
        <w:t>5.2 Alternative mechanisms explored</w:t>
      </w:r>
    </w:p>
    <w:p>
      <w:pPr>
        <w:pStyle w:val="Heading3"/>
      </w:pPr>
      <w:r>
        <w:t>To probe the downstream mechanism linking the post-threshold downturn to financial constraints, we tested working-capital proxies available in the WBES instrument. The cross-wave-comparable indicators — overdraft facility (k7), line of credit (k8 / k82), financing-structure shares (k3 series), and the access-to-finance obstacle score (k30) — were tested as interaction terms with FSTS² 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 cash-conversion cycle, days-receivable-outstanding, trade-finance pricing — is needed to test the mechanism conclusively.</w:t>
      </w:r>
    </w:p>
    <w:p>
      <w:pPr>
        <w:pStyle w:val="Heading3"/>
      </w:pPr>
      <w:r>
        <w:t>5.3 Managerial implications</w:t>
      </w:r>
    </w:p>
    <w:p>
      <w:pPr>
        <w:pStyle w:val="FirstParagraph"/>
      </w:pPr>
      <w:r>
        <w:t xml:space="preserve">For Chinese private firms, the findings carry four managerial implications.</w:t>
      </w:r>
      <w:r>
        <w:t xml:space="preserve"> </w:t>
      </w:r>
      <w:r>
        <w:rPr>
          <w:bCs/>
          <w:b/>
        </w:rPr>
        <w:t xml:space="preserve">First</w:t>
      </w:r>
      <w:r>
        <w:t xml:space="preserve">,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 which the present data locate at approximately 30 % to 60 % of total sales and which has not shifted over the past decade —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rPr>
          <w:bCs/>
          <w:b/>
        </w:rPr>
        <w:t xml:space="preserve">Second</w:t>
      </w:r>
      <w:r>
        <w:t xml:space="preserve">, technological capability investment — broadly defined to include foreign-technology licensing, quality certification, product innovation, and R&amp;D activity —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rPr>
          <w:bCs/>
          <w:b/>
        </w:rPr>
        <w:t xml:space="preserve">Third</w:t>
      </w:r>
      <w:r>
        <w:t xml:space="preserve">, 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 Tier 2 through Tier 4 in the Verhoef et al. 2021 hierarchy) may eventually find that the threshold relaxes, but our data cannot directly test this proposition.</w:t>
      </w:r>
    </w:p>
    <w:p>
      <w:pPr>
        <w:pStyle w:val="BodyText"/>
      </w:pPr>
      <w:r>
        <w:rPr>
          <w:bCs/>
          <w:b/>
        </w:rPr>
        <w:t xml:space="preserve">Fourth and more general</w:t>
      </w:r>
      <w:r>
        <w:t xml:space="preserve">,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45"/>
    <w:bookmarkStart w:id="46" w:name="tentative-policy-considerations"/>
    <w:p>
      <w:pPr>
        <w:pStyle w:val="Heading3"/>
      </w:pPr>
      <w:r>
        <w:t>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First, 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Second, the SME credit-market reforms targeting working-capital lines, factoring, export credit insurance, and trade-finance access (Manova, 2013; Niepmann &amp; Schmidt-Eisenlohr, 2017; Demir &amp; Javorcik, 2018) may help shift the threshold rightward and broaden the safe operating zone, but the present paper does not directly test this policy effect —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Third,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46"/>
    <w:bookmarkStart w:id="47" w:name="theoretical-contributions"/>
    <w:p>
      <w:pPr>
        <w:pStyle w:val="Heading3"/>
      </w:pPr>
      <w:r>
        <w:t>5.5 Theoretical contributions</w:t>
      </w:r>
    </w:p>
    <w:p>
      <w:pPr>
        <w:pStyle w:val="FirstParagraph"/>
      </w:pPr>
      <w:r>
        <w:t xml:space="preserve">The paper offers four theoretical contributions to the international business and strategic management literature.</w:t>
      </w:r>
    </w:p>
    <w:p>
      <w:pPr>
        <w:pStyle w:val="BodyText"/>
      </w:pPr>
      <w:r>
        <w:rPr>
          <w:bCs/>
          <w:b/>
        </w:rPr>
        <w:t xml:space="preserve">First</w:t>
      </w:r>
      <w:r>
        <w:t xml:space="preserve">, we contribute to the</w:t>
      </w:r>
      <w:r>
        <w:t xml:space="preserve"> </w:t>
      </w:r>
      <w:r>
        <w:rPr>
          <w:iCs/>
          <w:i/>
        </w:rPr>
        <w:t xml:space="preserve">internationalization–performance</w:t>
      </w:r>
      <w:r>
        <w:t xml:space="preserve"> </w:t>
      </w:r>
      <w:r>
        <w:t xml:space="preserve">literature by extending its scope from the question of</w:t>
      </w:r>
      <w:r>
        <w:t xml:space="preserve"> </w:t>
      </w:r>
      <w:r>
        <w:t xml:space="preserve">“</w:t>
      </w:r>
      <w:r>
        <w:t xml:space="preserve">what shape</w:t>
      </w:r>
      <w:r>
        <w:t xml:space="preserve">”</w:t>
      </w:r>
      <w:r>
        <w:t xml:space="preserve"> </w:t>
      </w:r>
      <w:r>
        <w:t xml:space="preserve">to the question of</w:t>
      </w:r>
      <w:r>
        <w:t xml:space="preserve"> </w:t>
      </w:r>
      <w:r>
        <w:t xml:space="preserve">“</w:t>
      </w:r>
      <w:r>
        <w:t xml:space="preserve">does the shape endure.</w:t>
      </w:r>
      <w:r>
        <w:t xml:space="preserve">”</w:t>
      </w:r>
      <w:r>
        <w:t xml:space="preserve"> </w:t>
      </w:r>
      <w:r>
        <w:t xml:space="preserve">The bulk of prior IP work — including the foundational nonlinear studies (Hitt et al., 1997; Contractor et al., 2003; Lu &amp; Beamish, 2004) and the meta-analytic syntheses (Bausch &amp; Krist, 2007; Kirca et al., 2012; Marano et al., 2016; Schwens et al., 2018) — has established the inverted-U as a robust pattern but has rarely tested its temporal stability within a single national context. Our durability finding establishes that, at least in China and over the 2012-2024 window, the inverted-U is more than a sample-specific regularity: it is an enduring structural feature of the trade-off. This complements the cross-country heterogeneity emphasis of the meta-analytic tradition with within-country temporal evidence, and it provides a benchmark for future replication studies in other emerging-economy contexts.</w:t>
      </w:r>
    </w:p>
    <w:p>
      <w:pPr>
        <w:pStyle w:val="BodyText"/>
      </w:pPr>
      <w:r>
        <w:rPr>
          <w:bCs/>
          <w:b/>
        </w:rPr>
        <w:t xml:space="preserve">Second</w:t>
      </w:r>
      <w:r>
        <w:t xml:space="preserve">, we contribute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 rather than within-country evolution — drives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rPr>
          <w:bCs/>
          <w:b/>
        </w:rPr>
        <w:t xml:space="preserve">Third</w:t>
      </w:r>
      <w:r>
        <w:t xml:space="preserve">, we contribute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 but the upper bound of that efficiency gain is itself bounded by the underlying coordination and financial constraints that the inverted-U captures.</w:t>
      </w:r>
    </w:p>
    <w:p>
      <w:pPr>
        <w:pStyle w:val="BodyText"/>
      </w:pPr>
      <w:r>
        <w:rPr>
          <w:bCs/>
          <w:b/>
        </w:rPr>
        <w:t xml:space="preserve">Fourth</w:t>
      </w:r>
      <w:r>
        <w:t xml:space="preserve">, we contribute methodologically to the IB literature on</w:t>
      </w:r>
      <w:r>
        <w:t xml:space="preserve"> </w:t>
      </w:r>
      <w:r>
        <w:rPr>
          <w:iCs/>
          <w:i/>
        </w:rPr>
        <w:t xml:space="preserve">threshold-stability testing</w:t>
      </w:r>
      <w:r>
        <w:t xml:space="preserve"> </w:t>
      </w:r>
      <w:r>
        <w:t xml:space="preserve">by demonstrating the value of combining (a) wave-by-wave separate estimates with (b) Paternoster z-tests on individual coefficients and (c) joint F-tests in pooled three-way specifications. The triangulation provides a more robust verdict than any single test alone — particularly important when the substantive claim hinges on a</w:t>
      </w:r>
      <w:r>
        <w:t xml:space="preserve"> </w:t>
      </w:r>
      <w:r>
        <w:rPr>
          <w:iCs/>
          <w:i/>
        </w:rPr>
        <w:t xml:space="preserve">failure to reject</w:t>
      </w:r>
      <w:r>
        <w:t xml:space="preserve"> </w:t>
      </w:r>
      <w:r>
        <w:t xml:space="preserve">a null. Our reporting protocol can be adopted by future studies testing temporal stability of nonlinear relationships in other contexts, and complements the methodological best-practice recommendations of Eden and Nielsen (2020), Antonakis et al. (2010), and Meyer et al. (2017).</w:t>
      </w:r>
    </w:p>
    <w:bookmarkEnd w:id="47"/>
    <w:bookmarkStart w:id="48" w:name="boundary-conditions"/>
    <w:p>
      <w:pPr>
        <w:pStyle w:val="Heading3"/>
      </w:pPr>
      <w:r>
        <w:t>5.6 Boundary conditions</w:t>
      </w:r>
    </w:p>
    <w:p>
      <w:pPr>
        <w:pStyle w:val="FirstParagraph"/>
      </w:pPr>
      <w:r>
        <w:t xml:space="preserve">The findings are bounded by several conditions worth making explicit.</w:t>
      </w:r>
      <w:r>
        <w:t xml:space="preserve"> </w:t>
      </w:r>
      <w:r>
        <w:rPr>
          <w:bCs/>
          <w:b/>
        </w:rPr>
        <w:t xml:space="preserve">First</w:t>
      </w:r>
      <w:r>
        <w:t xml:space="preserve">, the inverted-U pattern is detected in the WBES private-firm frame and may not extend to publicly-listed Chinese firms, which face different regulatory, governance, and capital-market conditions.</w:t>
      </w:r>
      <w:r>
        <w:t xml:space="preserve"> </w:t>
      </w:r>
      <w:r>
        <w:rPr>
          <w:bCs/>
          <w:b/>
        </w:rPr>
        <w:t xml:space="preserve">Second</w:t>
      </w:r>
      <w:r>
        <w:t xml:space="preserve">, the durability claim is tested across two waves separated by 12 years; whether the threshold remains stable across longer windows or different sub-periods (e.g., pre- vs post-COVID) is an empirical question that the present design cannot answer.</w:t>
      </w:r>
      <w:r>
        <w:t xml:space="preserve"> </w:t>
      </w:r>
      <w:r>
        <w:rPr>
          <w:bCs/>
          <w:b/>
        </w:rPr>
        <w:t xml:space="preserve">Third</w:t>
      </w:r>
      <w:r>
        <w:t xml:space="preserve">, the threshold-stability finding is China-specific; the broader internationalization-performance literature suggests substantial cross-country variation, and the durability we document may not extend to other emerging economies — a question we identify for future cross-country WBES replication.</w:t>
      </w:r>
      <w:r>
        <w:t xml:space="preserve"> </w:t>
      </w:r>
      <w:r>
        <w:rPr>
          <w:bCs/>
          <w:b/>
        </w:rPr>
        <w:t xml:space="preserve">Fourth</w:t>
      </w:r>
      <w:r>
        <w:t xml:space="preserve">, the capability-moderation null is conditional on the WBES capability instruments; richer indicators (Tier 3-4 digital integration, deeper R&amp;D-instensity measures) may yet reveal the curvature-moderation effect that the present instruments do not detect.</w:t>
      </w:r>
    </w:p>
    <w:bookmarkEnd w:id="48"/>
    <w:bookmarkEnd w:id="49"/>
    <w:bookmarkStart w:id="50" w:name="limitations-and-future-research"/>
    <w:p>
      <w:pPr>
        <w:pStyle w:val="Heading2"/>
      </w:pPr>
      <w:r>
        <w:t xml:space="preserve">6. Limitations and Future Research</w:t>
      </w:r>
    </w:p>
    <w:p>
      <w:pPr>
        <w:pStyle w:val="FirstParagraph"/>
      </w:pPr>
      <w:r>
        <w:t xml:space="preserve">This paper has six principal limitations.</w:t>
      </w:r>
    </w:p>
    <w:p>
      <w:pPr>
        <w:pStyle w:val="BodyText"/>
      </w:pPr>
      <w:r>
        <w:rPr>
          <w:bCs/>
          <w:b/>
        </w:rPr>
        <w:t xml:space="preserve">First and most fundamentally</w:t>
      </w:r>
      <w:r>
        <w:t xml:space="preserve">, the WBES microdata are repeated cross‑sections rather than a true firm panel; we cannot identify within‑firm change over time and cannot control for time‑invariant unobserved heterogeneity (Antonakis et al., 2010; Eden &amp; Nielsen, 2020; Shaver, 2020). The associational language we adopt throughout reflects this constraint and should not be relaxed in any reader’s interpretation of the results. The unexpected stability finding in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for this purpose; combining them with a future 2032 wave (if WBES China continues its decennial pattern) would yield a 3-wave subset that supports within-firm fixed-effects estimation. We identify this as a high-priority extension once the data become available.</w:t>
      </w:r>
    </w:p>
    <w:p>
      <w:pPr>
        <w:pStyle w:val="BodyText"/>
      </w:pPr>
      <w:r>
        <w:rPr>
          <w:bCs/>
          <w:b/>
        </w:rPr>
        <w:t xml:space="preserve">Second</w:t>
      </w:r>
      <w:r>
        <w:t xml:space="preserve">, 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rPr>
          <w:bCs/>
          <w:b/>
        </w:rPr>
        <w:t xml:space="preserve">Third</w:t>
      </w:r>
      <w:r>
        <w:t xml:space="preserve">, the DAI_core specification is operationalised by a single binary indicator (c22b own‑website presence) — a deliberate choice taken in this revision to keep the technological‑capability and digital‑adoption constructs operationally orthogonal (see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rPr>
          <w:bCs/>
          <w:b/>
        </w:rPr>
        <w:t xml:space="preserve">Fourth</w:t>
      </w:r>
      <w:r>
        <w:t xml:space="preserve">, the WBES sample frame may have drifted across waves — for example, through changes in the manufacturing‑services balance or in the FDI profile of the surveyed firms — and although we control for sector and ownership we cannot rule out residual sample‑frame drift. The robustness check on the manufacturing‑only subsample reported in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 re-weighting the 2024 sample to match the 2012 industry-region-size strata distribution, and exploring firm-age and firm-size distribution shifts — are identified as priorities for the next revision.</w:t>
      </w:r>
    </w:p>
    <w:p>
      <w:pPr>
        <w:pStyle w:val="BodyText"/>
      </w:pPr>
      <w:r>
        <w:rPr>
          <w:bCs/>
          <w:b/>
        </w:rPr>
        <w:t xml:space="preserve">Fifth</w:t>
      </w:r>
      <w:r>
        <w:t xml:space="preserve">, 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 × wave_2024 × Tech specification is reported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 for example combining WBES with firm-level digital-transformation indicators (Nambisan, Wright, &amp; Feldman, 2019) — would provide a stronger test. A formal power analysis for the three-way moderation effect is left for future work using a more extensive panel.</w:t>
      </w:r>
    </w:p>
    <w:p>
      <w:pPr>
        <w:pStyle w:val="BodyText"/>
      </w:pPr>
      <w:r>
        <w:rPr>
          <w:bCs/>
          <w:b/>
        </w:rPr>
        <w:t xml:space="preserve">Sixth</w:t>
      </w:r>
      <w:r>
        <w:t xml:space="preserve">, 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Đỗ &amp; Phan, 2025 — ICBEF). A natural next step in our broader research stream is the multi-country replication of the threshold-stability test on WBES data for Vietnam, Indonesia, India, and other emerging-Asia settings (Đỗ &amp; Phan, 2026 — VEFR),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 making the cross-country threshold-stability comparison feasible at relatively low marginal cost.</w:t>
      </w:r>
    </w:p>
    <w:p>
      <w:pPr>
        <w:pStyle w:val="BodyText"/>
      </w:pPr>
      <w:r>
        <w:t xml:space="preserve">Future research should pursue panel data, expanded measurement instruments — particularly receivables turnover, cash‑conversion cycle, and trade‑finance pricing (Manova, 2013; Demir &amp; Javorcik, 2018) — and multi‑country comparative analysis of the threshold‑stability claim that we identify here. The combination of the unexpected-stability result with the documented heterogeneity in the broader internationalization–performance literature (Đỗ &amp; Phan, 2025 — ICBEF; Marano et al., 2016; Schwens et al., 2018) suggests that the location and shape of the inverted-U may be more sensitive to country institutional context than to within-country temporal change — a hypothesis worth testing directly with the cross-country WBES corpus.</w:t>
      </w:r>
    </w:p>
    <w:p>
      <w:r>
        <w:pict>
          <v:rect style="width:0;height:1.5pt" o:hralign="center" o:hrstd="t" o:hr="t"/>
        </w:pict>
      </w:r>
    </w:p>
    <w:bookmarkEnd w:id="50"/>
    <w:bookmarkStart w:id="51" w:name="acknowledgements"/>
    <w:p>
      <w:pPr>
        <w:pStyle w:val="Heading2"/>
      </w:pPr>
      <w:r>
        <w:t xml:space="preserve">Acknowledgements</w:t>
      </w:r>
    </w:p>
    <w:p>
      <w:pPr>
        <w:pStyle w:val="FirstParagraph"/>
      </w:pPr>
      <w:r>
        <w:t xml:space="preserve">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1"/>
    <w:bookmarkStart w:id="64" w:name="figures"/>
    <w:p>
      <w:pPr>
        <w:pStyle w:val="Heading2"/>
      </w:pPr>
      <w:r>
        <w:t xml:space="preserve">Figures</w:t>
      </w:r>
    </w:p>
    <w:p>
      <w:pPr>
        <w:pStyle w:val="CaptionedFigure"/>
      </w:pPr>
      <w:r>
        <w:drawing>
          <wp:inline>
            <wp:extent cx="3810000" cy="2540000"/>
            <wp:effectExtent b="0" l="0" r="0" t="0"/>
            <wp:docPr descr="Figure 1: Conceptual model — bounded I–P and temporal shift, Chinese private firms" title="" id="53" name="Picture"/>
            <a:graphic>
              <a:graphicData uri="http://schemas.openxmlformats.org/drawingml/2006/picture">
                <pic:pic>
                  <pic:nvPicPr>
                    <pic:cNvPr descr="figures/p5_china/figure_1_conceptual_model.png" id="54" name="Picture"/>
                    <pic:cNvPicPr>
                      <a:picLocks noChangeArrowheads="1" noChangeAspect="1"/>
                    </pic:cNvPicPr>
                  </pic:nvPicPr>
                  <pic:blipFill>
                    <a:blip r:embed="rId5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Conceptual model — bounded I–P and temporal shift, Chinese private firms</w:t>
      </w:r>
    </w:p>
    <w:p>
      <w:pPr>
        <w:pStyle w:val="BodyText"/>
      </w:pPr>
      <w:r>
        <w:rPr>
          <w:iCs/>
          <w:i/>
        </w:rPr>
        <w:t xml:space="preserve">Figure 1.</w:t>
      </w:r>
      <w:r>
        <w:t xml:space="preserve"> </w:t>
      </w:r>
      <w:r>
        <w:t xml:space="preserve">Conceptual model for P5. Boxes denote firm-level constructs (FSTS, FSTS², TCI, DAI, controls; outcome ln(LP)); a wave2024 dummy explicitly enters the model. Solid arrows mark primary directional hypotheses (H1 inverted-U curvature; H2 temporal shift via wave×FSTS interactions; H4a/H4b TCI and DAI level-shift and curvature-moderation). Dashed working-capital block (H3) reflects exploratory tests.</w:t>
      </w:r>
    </w:p>
    <w:p>
      <w:pPr>
        <w:pStyle w:val="CaptionedFigure"/>
      </w:pPr>
      <w:r>
        <w:drawing>
          <wp:inline>
            <wp:extent cx="3810000" cy="2540000"/>
            <wp:effectExtent b="0" l="0" r="0" t="0"/>
            <wp:docPr descr="Figure 2: Turning-point estimates with 95% confidence intervals by wave (China 2012, 2024, pooled)" title="" id="56" name="Picture"/>
            <a:graphic>
              <a:graphicData uri="http://schemas.openxmlformats.org/drawingml/2006/picture">
                <pic:pic>
                  <pic:nvPicPr>
                    <pic:cNvPr descr="figures/p5_china/figure_2_turning_points.png" id="57" name="Picture"/>
                    <pic:cNvPicPr>
                      <a:picLocks noChangeArrowheads="1" noChangeAspect="1"/>
                    </pic:cNvPicPr>
                  </pic:nvPicPr>
                  <pic:blipFill>
                    <a:blip r:embed="rId5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Turning-point estimates with 95% confidence intervals by wave (China 2012, 2024, pooled)</w:t>
      </w:r>
    </w:p>
    <w:p>
      <w:pPr>
        <w:pStyle w:val="BodyText"/>
      </w:pPr>
      <w:r>
        <w:rPr>
          <w:iCs/>
          <w:i/>
        </w:rPr>
        <w:t xml:space="preserve">Figure 2.</w:t>
      </w:r>
      <w:r>
        <w:t xml:space="preserve"> </w:t>
      </w:r>
      <w:r>
        <w:t xml:space="preserve">Optimal export-intensity threshold (turning point of the inverted-U) for Chinese private firms in 2012, 2024, and the pooled sample. Markers = OLS-HC1 point estimates; vertical bars = 95% delta-method CIs. Estimates: 49.4% (2012), 47.2% (2024), 48.8% (pooled) — structurally stable across waves (Paternoster z-test p = .412 / p = .545; joint F p = .107).</w:t>
      </w:r>
    </w:p>
    <w:p>
      <w:pPr>
        <w:pStyle w:val="CaptionedFigure"/>
      </w:pPr>
      <w:r>
        <w:drawing>
          <wp:inline>
            <wp:extent cx="3810000" cy="2540000"/>
            <wp:effectExtent b="0" l="0" r="0" t="0"/>
            <wp:docPr descr="Figure 3: Predicted ln(labour productivity) curves by wave (China, OLS-HC1)" title="" id="59" name="Picture"/>
            <a:graphic>
              <a:graphicData uri="http://schemas.openxmlformats.org/drawingml/2006/picture">
                <pic:pic>
                  <pic:nvPicPr>
                    <pic:cNvPr descr="figures/p5_china/figure_3_predicted_curves.png" id="60" name="Picture"/>
                    <pic:cNvPicPr>
                      <a:picLocks noChangeArrowheads="1" noChangeAspect="1"/>
                    </pic:cNvPicPr>
                  </pic:nvPicPr>
                  <pic:blipFill>
                    <a:blip r:embed="rId5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Predicted ln(labour productivity) curves by wave (China, OLS-HC1)</w:t>
      </w:r>
    </w:p>
    <w:p>
      <w:pPr>
        <w:pStyle w:val="BodyText"/>
      </w:pPr>
      <w:r>
        <w:rPr>
          <w:iCs/>
          <w:i/>
        </w:rPr>
        <w:t xml:space="preserve">Figure 3.</w:t>
      </w:r>
      <w:r>
        <w:t xml:space="preserve"> </w:t>
      </w:r>
      <w:r>
        <w:t xml:space="preserve">Predicted log labour productivity across FSTS for Chinese private firms in 2012 and 2024, holding controls at within-sample means. Shaded bands = 95% CIs. Vertical dotted lines mark wave-specific turning points (49.4% / 47.2%). Blue horizontal band marks the managerially defined</w:t>
      </w:r>
      <w:r>
        <w:t xml:space="preserve"> </w:t>
      </w:r>
      <w:r>
        <w:t xml:space="preserve">“</w:t>
      </w:r>
      <w:r>
        <w:t xml:space="preserve">safe operating zone</w:t>
      </w:r>
      <w:r>
        <w:t xml:space="preserve">”</w:t>
      </w:r>
      <w:r>
        <w:t xml:space="preserve"> </w:t>
      </w:r>
      <w:r>
        <w:t xml:space="preserve">(30%–60% FSTS). The two curves are nearly parallel — shape is stable; only level-shifted upward in 2024.</w:t>
      </w:r>
    </w:p>
    <w:p>
      <w:pPr>
        <w:pStyle w:val="CaptionedFigure"/>
      </w:pPr>
      <w:r>
        <w:drawing>
          <wp:inline>
            <wp:extent cx="3810000" cy="2540000"/>
            <wp:effectExtent b="0" l="0" r="0" t="0"/>
            <wp:docPr descr="Figure 4: TCI and DAI direct-effect coefficients by wave (China, standardised OLS)" title="" id="62" name="Picture"/>
            <a:graphic>
              <a:graphicData uri="http://schemas.openxmlformats.org/drawingml/2006/picture">
                <pic:pic>
                  <pic:nvPicPr>
                    <pic:cNvPr descr="figures/p5_china/figure_4_level_shifts.png" id="63" name="Picture"/>
                    <pic:cNvPicPr>
                      <a:picLocks noChangeArrowheads="1" noChangeAspect="1"/>
                    </pic:cNvPicPr>
                  </pic:nvPicPr>
                  <pic:blipFill>
                    <a:blip r:embed="rId6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TCI and DAI direct-effect coefficients by wave (China, standardised OLS)</w:t>
      </w:r>
    </w:p>
    <w:p>
      <w:pPr>
        <w:pStyle w:val="BodyText"/>
      </w:pPr>
      <w:r>
        <w:rPr>
          <w:iCs/>
          <w:i/>
        </w:rPr>
        <w:t xml:space="preserve">Figure 4.</w:t>
      </w:r>
      <w:r>
        <w:t xml:space="preserve"> </w:t>
      </w:r>
      <w:r>
        <w:t xml:space="preserve">Direct level-shift coefficients of TCI_full and DAI_core by wave for Chinese private firms. Bars = within-wave z-standardised OLS-HC1 coefficients; error bars = 95% CIs. TCI effect is positive and significant in both waves; DAI effect smaller and statistically weaker.</w:t>
      </w:r>
    </w:p>
    <w:p>
      <w:r>
        <w:pict>
          <v:rect style="width:0;height:1.5pt" o:hralign="center" o:hrstd="t" o:hr="t"/>
        </w:pict>
      </w:r>
    </w:p>
    <w:bookmarkEnd w:id="64"/>
    <w:bookmarkStart w:id="65"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https://doi.org/10.1016/j.jwb.2010.10.022</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https://doi.org/10.1007/s11575-007-0023-3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Đỗ, T. H., &amp; Phan, A. T.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ISBN). College of Economics, Can Tho University.</w:t>
      </w:r>
    </w:p>
    <w:p>
      <w:pPr>
        <w:pStyle w:val="BodyText"/>
      </w:pPr>
      <w:r>
        <w:t xml:space="preserve">Đỗ, T. H., &amp; Phan, A. T.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Đỗ, T. H., &amp; Phan, A. T.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 https://doi.org/10.1080/1540496X.2018.1547270</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 https://doi.org/10.1146/annurev-economics-080614-115453</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2" Type="http://schemas.openxmlformats.org/officeDocument/2006/relationships/image" Target="media/rId52.png"/><Relationship Id="rId55" Type="http://schemas.openxmlformats.org/officeDocument/2006/relationships/image" Target="media/rId55.png"/><Relationship Id="rId58" Type="http://schemas.openxmlformats.org/officeDocument/2006/relationships/image" Target="media/rId58.png"/><Relationship Id="rId61" Type="http://schemas.openxmlformats.org/officeDocument/2006/relationships/image" Target="media/rId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2026-05-08T13:47:56Z</dcterms:created>
  <dcterms:modified xsi:type="dcterms:W3CDTF">2026-05-08T13:47:56Z</dcterms:modified>
</cp:coreProperties>
</file>

<file path=docProps/custom.xml><?xml version="1.0" encoding="utf-8"?>
<Properties xmlns="http://schemas.openxmlformats.org/officeDocument/2006/custom-properties" xmlns:vt="http://schemas.openxmlformats.org/officeDocument/2006/docPropsVTypes"/>
</file>