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 turning point giảm dần khi chuyển từ thể chế yếu sang thể chế mạnh —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Nghiên cứu thành phần P2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Nghiên cứu thành phần P8 — Nghiên cứu P8 — kiểm định H1b bằng dữ liệu WBES từ các nền kinh tế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9" w:name="X2e72411c23c34d41d1942bd5d4fbf8ae22da5d2"/>
    <w:p>
      <w:pPr>
        <w:pStyle w:val="Heading2"/>
      </w:pPr>
      <w:r>
        <w:t xml:space="preserve">2.5 Mô hình nghiên cứu và hệ giả thuyết</w:t>
      </w:r>
    </w:p>
    <w:bookmarkStart w:id="40"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BodyText"/>
      </w:pPr>
      <w:r>
        <w:drawing>
          <wp:inline>
            <wp:extent cx="5753100" cy="3558086"/>
            <wp:effectExtent b="0" l="0" r="0" t="0"/>
            <wp:docPr descr="Hình 2.1. Khung khái niệm tích hợp đa tầng CDCM cho quan hệ Quốc tế hóa–Hiệu quả tại châu Á" title="" id="38" name="Picture"/>
            <a:graphic>
              <a:graphicData uri="http://schemas.openxmlformats.org/drawingml/2006/picture">
                <pic:pic>
                  <pic:nvPicPr>
                    <pic:cNvPr descr="figures/fig_2_1_cdcm_conceptual_model.png" id="39" name="Picture"/>
                    <pic:cNvPicPr>
                      <a:picLocks noChangeArrowheads="1" noChangeAspect="1"/>
                    </pic:cNvPicPr>
                  </pic:nvPicPr>
                  <pic:blipFill>
                    <a:blip r:embed="rId37"/>
                    <a:stretch>
                      <a:fillRect/>
                    </a:stretch>
                  </pic:blipFill>
                  <pic:spPr bwMode="auto">
                    <a:xfrm>
                      <a:off x="0" y="0"/>
                      <a:ext cx="5753100" cy="3558086"/>
                    </a:xfrm>
                    <a:prstGeom prst="rect">
                      <a:avLst/>
                    </a:prstGeom>
                    <a:noFill/>
                    <a:ln w="9525">
                      <a:noFill/>
                      <a:headEnd/>
                      <a:tailEnd/>
                    </a:ln>
                  </pic:spPr>
                </pic:pic>
              </a:graphicData>
            </a:graphic>
          </wp:inline>
        </w:drawing>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 quan hệ phi tuyến chữ U ngược); mũi tên đứt thể hiện tác động điều tiết của ba tầng (thể chế ICRV — H5; năng lực số TCI/DAI — H2, H3; đặc điểm nhà quản trị —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0"/>
    <w:bookmarkStart w:id="41"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41"/>
    <w:bookmarkStart w:id="42" w:name="Xdbf0ae64633523b25c46a68390b7cec268e3e1b"/>
    <w:p>
      <w:pPr>
        <w:pStyle w:val="Heading3"/>
      </w:pPr>
      <w:r>
        <w:t xml:space="preserve">2.5.2b Điều kiện biên H1b: Gánh nặng quốc tế hóa bắt buộc (FIP) tại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2"/>
    <w:bookmarkStart w:id="43"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3"/>
    <w:bookmarkStart w:id="44"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4"/>
    <w:bookmarkStart w:id="45"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5"/>
    <w:bookmarkStart w:id="46"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6"/>
    <w:bookmarkStart w:id="47"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7"/>
    <w:bookmarkStart w:id="48" w:name="Xe7d8e87fd4c6817ebf83bfc9a906e5cc228db6c"/>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 chương — giả thuyết.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Emerging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SIDS (9 nền kinh tế,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 thuộc P5, lồng dưới H2/H6); H4a–H4b (kiểm định điều tiết độ cong theo năng lực — thuộc P5, lồng dưới H2); tương tác tổng hợp ba chiều của P7 (lồng dưới H3 và H5); và E1a–E1b (kiểm định định hướng gradient ICRV — lồng dưới H5). Các ký hiệu con này phục vụ độ chính xác kỹ thuật của từng mô hình và không làm thay đổi hệ giả thuyết trọng tâm H1–H6/H1b của luận án.</w:t>
      </w:r>
    </w:p>
    <w:bookmarkEnd w:id="48"/>
    <w:bookmarkEnd w:id="49"/>
    <w:bookmarkStart w:id="50"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0"/>
    <w:bookmarkEnd w:id="5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2026-06-09T03:23:44Z</dcterms:created>
  <dcterms:modified xsi:type="dcterms:W3CDTF">2026-06-09T03:23:44Z</dcterms:modified>
</cp:coreProperties>
</file>

<file path=docProps/custom.xml><?xml version="1.0" encoding="utf-8"?>
<Properties xmlns="http://schemas.openxmlformats.org/officeDocument/2006/custom-properties" xmlns:vt="http://schemas.openxmlformats.org/officeDocument/2006/docPropsVTypes"/>
</file>