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Journal of Asian Business and Economic Studies (JABES), Emerald Publishing on behalf of University of Economics Ho Chi Minh City (UEH)</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and foundational digital adoption relate to the internationalization–performance (I-P) relationship among firms in Singapore, treating Singapore as a boundary-case test at the advanced-economy ceiling of the institutional spectrum.</w:t>
      </w:r>
    </w:p>
    <w:p>
      <w:pPr>
        <w:pStyle w:val="BodyText"/>
      </w:pPr>
      <w:r>
        <w:rPr>
          <w:bCs/>
          <w:b/>
        </w:rPr>
        <w:t xml:space="preserve">Design/methodology/approach.</w:t>
      </w:r>
      <w:r>
        <w:t xml:space="preserve"> </w:t>
      </w:r>
      <w:r>
        <w:t xml:space="preserve">Drawing on World Bank Enterprise Survey microdata for Singapore 2023, the analysis distinguishes a Technological Capability Index (TCI) from a Digital Adoption Index (DAI) at the Tier 1–2 level. Wave-specific OLS with HC1 robust standard errors, quadratic FSTS terms, and capability</w:t>
      </w:r>
      <w:r>
        <w:t xml:space="preserve"> </w:t>
      </w:r>
      <m:oMath>
        <m:r>
          <m:rPr>
            <m:sty m:val="p"/>
          </m:rPr>
          <m:t>×</m:t>
        </m:r>
      </m:oMath>
      <w:r>
        <w:t xml:space="preserve"> </w:t>
      </w:r>
      <w:r>
        <w:t xml:space="preserve">FSTS interactions test the I-P functional form and the two capability moderation channels.</w:t>
      </w:r>
    </w:p>
    <w:p>
      <w:pPr>
        <w:pStyle w:val="BodyText"/>
      </w:pPr>
      <w:r>
        <w:rPr>
          <w:bCs/>
          <w:b/>
        </w:rPr>
        <w:t xml:space="preserve">Findings.</w:t>
      </w:r>
      <w:r>
        <w:t xml:space="preserve"> </w:t>
      </w:r>
      <w:r>
        <w:t xml:space="preserve">Within the observed export-intensity range, the I-P relationship is better characterised as predominantly positive with mild quadratic curvature than as a formally identified inverted-U; the fitted turning point sits at</w:t>
      </w:r>
      <w:r>
        <w:t xml:space="preserve"> </w:t>
      </w:r>
      <m:oMath>
        <m:r>
          <m:rPr>
            <m:sty m:val="p"/>
          </m:rPr>
          <m:t>F</m:t>
        </m:r>
        <m:r>
          <m:rPr>
            <m:sty m:val="p"/>
          </m:rPr>
          <m:t>S</m:t>
        </m:r>
        <m:r>
          <m:rPr>
            <m:sty m:val="p"/>
          </m:rPr>
          <m:t>T</m:t>
        </m:r>
        <m:r>
          <m:rPr>
            <m:sty m:val="p"/>
          </m:rPr>
          <m:t>S</m:t>
        </m:r>
        <m:r>
          <m:rPr>
            <m:sty m:val="p"/>
          </m:rPr>
          <m:t>≈</m:t>
        </m:r>
        <m:r>
          <m:t>82</m:t>
        </m:r>
        <m:r>
          <m:rPr>
            <m:sty m:val="p"/>
          </m:rPr>
          <m:t>%</m:t>
        </m:r>
      </m:oMath>
      <w:r>
        <w:t xml:space="preserve"> </w:t>
      </w:r>
      <w:r>
        <w:t xml:space="preserve">in a sparsely populated upper tail. Technological capability is positively associated with labour productivity, with no statistically distinguishable TCI moderation. Foundational digital adoption shows no uniform productivity premium, but a robust positive DAI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interaction (</w:t>
      </w:r>
      <m:oMath>
        <m:r>
          <m:t>β</m:t>
        </m:r>
      </m:oMath>
      <w:r>
        <w:t xml:space="preserve"> </w:t>
      </w:r>
      <w:r>
        <w:t xml:space="preserve">= +3.119, p = .005) indicates that its productivity association strengthens at higher export intensity.</w:t>
      </w:r>
    </w:p>
    <w:p>
      <w:pPr>
        <w:pStyle w:val="BodyText"/>
      </w:pPr>
      <w:r>
        <w:rPr>
          <w:bCs/>
          <w:b/>
        </w:rPr>
        <w:t xml:space="preserve">Research limitations/implications.</w:t>
      </w:r>
      <w:r>
        <w:t xml:space="preserve"> </w:t>
      </w:r>
      <w:r>
        <w:t xml:space="preserve">Single-wave Singapore cross-section limits causal claims to associations; the high-export tail is sparsely populated (</w:t>
      </w:r>
      <m:oMath>
        <m:r>
          <m:rPr>
            <m:sty m:val="p"/>
          </m:rPr>
          <m:t>≈</m:t>
        </m:r>
      </m:oMath>
      <w:r>
        <w:t xml:space="preserve">3% of firms above 50% FSTS), constraining inference on the right-side decline. Findings should be read as boundary-case evidence for digitally advanced economies rather than a general claim.</w:t>
      </w:r>
    </w:p>
    <w:p>
      <w:pPr>
        <w:pStyle w:val="BodyText"/>
      </w:pPr>
      <w:r>
        <w:rPr>
          <w:bCs/>
          <w:b/>
        </w:rPr>
        <w:t xml:space="preserve">Practical implications.</w:t>
      </w:r>
      <w:r>
        <w:t xml:space="preserve"> </w:t>
      </w:r>
      <w:r>
        <w:t xml:space="preserve">In digitally saturated economies like Singapore, Tier 1–2 digital tools (websites, electronic payment) function as hygiene factors domestically but become scaling levers under cross-border coordination demands. Singaporean export-promotion programmes (Enterprise Singapore, IMDA) should treat foundational digital adoption as an export-readiness condition rather than a productivity premium per se, and prioritise Tier 3–4 capabilities (ERP integration, AI-enabled operations) for productivity uplift across the firm population.</w:t>
      </w:r>
    </w:p>
    <w:p>
      <w:pPr>
        <w:pStyle w:val="BodyText"/>
      </w:pPr>
      <w:r>
        <w:rPr>
          <w:bCs/>
          <w:b/>
        </w:rPr>
        <w:t xml:space="preserve">Social implications.</w:t>
      </w:r>
      <w:r>
        <w:t xml:space="preserve"> </w:t>
      </w:r>
      <w:r>
        <w:t xml:space="preserve">The conditional-resource reading of foundational digital adoption recalibrates expectations under Singapore's Smart Nation Agenda: digital diffusion alone is insufficient for productivity convergence; complementary export-orientation policies are needed for digital investments to translate into broad-based firm-level productivity gains.</w:t>
      </w:r>
    </w:p>
    <w:p>
      <w:pPr>
        <w:pStyle w:val="BodyText"/>
      </w:pPr>
      <w:r>
        <w:rPr>
          <w:bCs/>
          <w:b/>
        </w:rPr>
        <w:t xml:space="preserve">Originality/value.</w:t>
      </w:r>
      <w:r>
        <w:t xml:space="preserve"> </w:t>
      </w:r>
      <w:r>
        <w:t xml:space="preserve">This is the first firm-level WBES-based test that separates TCI (capability depth) from DAI (digital interfaces) within the same Singapore sample and identifies a</w:t>
      </w:r>
      <w:r>
        <w:t xml:space="preserve"> </w:t>
      </w:r>
      <w:r>
        <w:rPr>
          <w:iCs/>
          <w:i/>
        </w:rPr>
        <w:t xml:space="preserve">digital saturation paradox</w:t>
      </w:r>
      <w:r>
        <w:t xml:space="preserve">: in digitally mature economies, the conditional digital complementarity mechanism is most legible precisely because domestic saturation removes the uniform-premium effect and leaves only the export-contingent signal. The findings qualify rather than overturn the conventional nonlinear I-P literature and complement cross-Asian threshold-stability evidence (companion studies on Vietnam, China, and Pacific SIDS).</w:t>
      </w:r>
    </w:p>
    <w:p>
      <w:pPr>
        <w:pStyle w:val="BodyText"/>
      </w:pPr>
      <w:r>
        <w:rPr>
          <w:bCs/>
          <w:b/>
        </w:rPr>
        <w:t xml:space="preserve">Keywords:</w:t>
      </w:r>
      <w:r>
        <w:t xml:space="preserve"> </w:t>
      </w:r>
      <w:r>
        <w:t xml:space="preserve">internationalisation–performance; digital adoption; technological capability; export intensity; labour productivity; Singapore; advanced Asian economies.</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w:t>
      </w:r>
      <w:r>
        <w:t xml:space="preserve"> </w:t>
      </w:r>
      <m:oMath>
        <m:r>
          <m:t>β</m:t>
        </m:r>
      </m:oMath>
      <w:r>
        <w:t xml:space="preserve">=+3.119, p = .005)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w:t>
      </w:r>
      <w:r>
        <w:t xml:space="preserve"> </w:t>
      </w:r>
      <m:oMath>
        <m:r>
          <m:rPr>
            <m:nor/>
            <m:sty m:val="p"/>
          </m:rPr>
          <m:t>DAI</m:t>
        </m:r>
        <m:r>
          <m:rPr>
            <m:sty m:val="p"/>
          </m:rPr>
          <m:t>×</m:t>
        </m:r>
        <m:r>
          <m:rPr>
            <m:nor/>
            <m:sty m:val="p"/>
          </m:rPr>
          <m:t>FSTS</m:t>
        </m:r>
      </m:oMath>
      <w:r>
        <w:t xml:space="preserve"> </w:t>
      </w:r>
      <w:r>
        <w:t xml:space="preserve">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.18) and within DAI (mean r = .21)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w:t>
      </w:r>
      <w:r>
        <w:t xml:space="preserve"> </w:t>
      </w:r>
      <m:oMath>
        <m:sSup>
          <m:e>
            <m:r>
              <m:t>f</m:t>
            </m:r>
          </m:e>
          <m:sup>
            <m:r>
              <m:t>2</m:t>
            </m:r>
          </m:sup>
        </m:sSup>
      </m:oMath>
      <w:r>
        <w:t xml:space="preserve"> </w:t>
      </w:r>
      <w:r>
        <w:t xml:space="preserve">(Aguinis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(p = .056, approaching conventional significance thresholds).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w:t>
      </w:r>
      <m:oMath>
        <m:r>
          <m:t>β</m:t>
        </m:r>
      </m:oMath>
      <w:r>
        <w:t xml:space="preserve"> </w:t>
      </w:r>
      <w:r>
        <w:t xml:space="preserve">= 0.168, SE = 0.040, p &lt; .001). Model fit also improves relative to the quadratic baseline, with</w:t>
      </w:r>
      <w:r>
        <w:t xml:space="preserve"> </w:t>
      </w:r>
      <m:oMath>
        <m:sSup>
          <m:e>
            <m:r>
              <m:t>R</m:t>
            </m:r>
          </m:e>
          <m:sup>
            <m:r>
              <m:t>2</m:t>
            </m:r>
          </m:sup>
        </m:sSup>
      </m:oMath>
      <w:r>
        <w:t xml:space="preserve"> </w:t>
      </w:r>
      <w:r>
        <w:t xml:space="preserve">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oMath>
      <w:r>
        <w:t xml:space="preserve"> </w:t>
      </w:r>
      <w:r>
        <w:t xml:space="preserve">=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w:t>
      </w:r>
      <m:oMath>
        <m:r>
          <m:t>β</m:t>
        </m:r>
      </m:oMath>
      <w:r>
        <w:t xml:space="preserve"> </w:t>
      </w:r>
      <w:r>
        <w:t xml:space="preserve">= 0.104, SE = 0.038, p = .007). However, once TCI is included alongside DAI in Model M7, the DAI coefficient attenuates to</w:t>
      </w:r>
      <w:r>
        <w:t xml:space="preserve"> </w:t>
      </w:r>
      <m:oMath>
        <m:r>
          <m:t>β</m:t>
        </m:r>
      </m:oMath>
      <w:r>
        <w:t xml:space="preserve"> </w:t>
      </w:r>
      <w:r>
        <w:t xml:space="preserve">=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oMath>
      <w:r>
        <w:t xml:space="preserve"> </w:t>
      </w:r>
      <w:r>
        <w:t xml:space="preserve">= 0.019, p = .705), the linear interaction with FSTS is negative and marginal (</w:t>
      </w:r>
      <m:oMath>
        <m:r>
          <m:t>β</m:t>
        </m:r>
      </m:oMath>
      <w:r>
        <w:t xml:space="preserve"> </w:t>
      </w:r>
      <w:r>
        <w:t xml:space="preserve">= −1.177, p = .083), and the quadratic interaction term is positive and statistically significant (</w:t>
      </w:r>
      <m:oMath>
        <m:r>
          <m:t>β</m:t>
        </m:r>
      </m:oMath>
      <w:r>
        <w:t xml:space="preserve"> </w:t>
      </w:r>
      <w:r>
        <w:t xml:space="preserve">= 3.119, SE = 1.124, p = .005). Model M8 also produces the highest explanatory power among the main specifications, with</w:t>
      </w:r>
      <w:r>
        <w:t xml:space="preserve"> </w:t>
      </w:r>
      <m:oMath>
        <m:sSup>
          <m:e>
            <m:r>
              <m:t>R</m:t>
            </m:r>
          </m:e>
          <m:sup>
            <m:r>
              <m:t>2</m:t>
            </m:r>
          </m:sup>
        </m:sSup>
      </m:oMath>
      <w:r>
        <w:t xml:space="preserve"> </w:t>
      </w:r>
      <w:r>
        <w:t xml:space="preserve">= 0.211 and adjusted</w:t>
      </w:r>
      <w:r>
        <w:t xml:space="preserve"> </w:t>
      </w:r>
      <m:oMath>
        <m:sSup>
          <m:e>
            <m:r>
              <m:t>R</m:t>
            </m:r>
          </m:e>
          <m:sup>
            <m:r>
              <m:t>2</m:t>
            </m:r>
          </m:sup>
        </m:sSup>
      </m:oMath>
      <w:r>
        <w:t xml:space="preserve"> </w:t>
      </w:r>
      <w:r>
        <w:t xml:space="preserve">=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w:t>
      </w:r>
      <m:oMath>
        <m:sSub>
          <m:e>
            <m:r>
              <m:t>β</m:t>
            </m:r>
          </m:e>
          <m:sub>
            <m:r>
              <m:t>1</m:t>
            </m:r>
          </m:sub>
        </m:sSub>
      </m:oMath>
      <w:r>
        <w:t xml:space="preserve">/2</w:t>
      </w:r>
      <m:oMath>
        <m:sSub>
          <m:e>
            <m:r>
              <m:t>β</m:t>
            </m:r>
          </m:e>
          <m:sub>
            <m:r>
              <m:t>2</m:t>
            </m:r>
          </m:sub>
        </m:sSub>
      </m:oMath>
      <w:r>
        <w:t xml:space="preserve"> </w:t>
      </w:r>
      <w:r>
        <w:t xml:space="preserve">on mean-centered FSTS</w:t>
      </w:r>
      <w:r>
        <w:t xml:space="preserve"> </w:t>
      </w:r>
      <m:oMath>
        <m:r>
          <m:rPr>
            <m:sty m:val="p"/>
          </m:rPr>
          <m:t>≈</m:t>
        </m:r>
      </m:oMath>
      <w:r>
        <w:t xml:space="preserve"> </w:t>
      </w:r>
      <w:r>
        <w:t xml:space="preserve">77.8%; adding back the sample mean of 0.045 gives</w:t>
      </w:r>
      <w:r>
        <w:t xml:space="preserve"> </w:t>
      </w:r>
      <m:oMath>
        <m:r>
          <m:rPr>
            <m:sty m:val="p"/>
          </m:rPr>
          <m:t>≈</m:t>
        </m:r>
      </m:oMath>
      <w:r>
        <w:t xml:space="preserve"> </w:t>
      </w:r>
      <w:r>
        <w:t xml:space="preserve">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w:t>
      </w:r>
      <w:r>
        <w:t xml:space="preserve"> </w:t>
      </w:r>
      <m:oMath>
        <m:r>
          <m:rPr>
            <m:sty m:val="p"/>
          </m:rPr>
          <m:t>≈</m:t>
        </m:r>
      </m:oMath>
      <w:r>
        <w:t xml:space="preserve"> </w:t>
      </w:r>
      <w:r>
        <w:t xml:space="preserve">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w:t>
      </w:r>
      <w:r>
        <w:t xml:space="preserve"> </w:t>
      </w:r>
      <m:oMath>
        <m:sSup>
          <m:e>
            <m:r>
              <m:t>f</m:t>
            </m:r>
          </m:e>
          <m:sup>
            <m:r>
              <m:t>2</m:t>
            </m:r>
          </m:sup>
        </m:sSup>
      </m:oMath>
      <w:r>
        <w:t xml:space="preserve"> </w:t>
      </w:r>
      <w:r>
        <w:t xml:space="preserve">for the TCI direct effect (comparing M2 with M5) is approximately 0.036, in the small-to-medium range; Cohen’s</w:t>
      </w:r>
      <w:r>
        <w:t xml:space="preserve"> </w:t>
      </w:r>
      <m:oMath>
        <m:sSup>
          <m:e>
            <m:r>
              <m:t>f</m:t>
            </m:r>
          </m:e>
          <m:sup>
            <m:r>
              <m:t>2</m:t>
            </m:r>
          </m:sup>
        </m:sSup>
      </m:oMath>
      <w:r>
        <w:t xml:space="preserve"> </w:t>
      </w:r>
      <w:r>
        <w:t xml:space="preserve">for the DAI moderation block (comparing M7 with M8) is approximately 0.018, below Cohen’s (1988) conventional small-effect threshold of 0.02. These effect sizes reinforce a cautious interpretation. A formal power analysis quantifies the implication: at</w:t>
      </w:r>
      <w:r>
        <w:t xml:space="preserve"> </w:t>
      </w:r>
      <m:oMath>
        <m:sSup>
          <m:e>
            <m:r>
              <m:t>f</m:t>
            </m:r>
          </m:e>
          <m:sup>
            <m:r>
              <m:t>2</m:t>
            </m:r>
          </m:sup>
        </m:sSup>
      </m:oMath>
      <w:r>
        <w:t xml:space="preserve">=0.018 with</w:t>
      </w:r>
      <w:r>
        <w:t xml:space="preserve"> </w:t>
      </w:r>
      <m:oMath>
        <m:r>
          <m:t>α</m:t>
        </m:r>
      </m:oMath>
      <w:r>
        <w:t xml:space="preserve">=.05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w:t>
      </w:r>
      <w:r>
        <w:t xml:space="preserve"> </w:t>
      </w:r>
      <m:oMath>
        <m:sSup>
          <m:e>
            <m:r>
              <m:t>f</m:t>
            </m:r>
          </m:e>
          <m:sup>
            <m:r>
              <m:t>2</m:t>
            </m:r>
          </m:sup>
        </m:sSup>
      </m:oMath>
      <w:r>
        <w:t xml:space="preserve">=0.018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w:t>
      </w:r>
      <w:r>
        <w:t xml:space="preserve"> </w:t>
      </w:r>
      <m:oMath>
        <m:r>
          <m:t>β</m:t>
        </m:r>
      </m:oMath>
      <w:r>
        <w:t xml:space="preserve">=+2.821, joint F p = .003)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w:t>
      </w:r>
      <m:oMath>
        <m:r>
          <m:t>β</m:t>
        </m:r>
      </m:oMath>
      <w:r>
        <w:t xml:space="preserve">=+2.821) and the joint F-test is significant (F = 6.32, p = .003),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w:t>
      </w:r>
      <m:oMath>
        <m:r>
          <m:t>β</m:t>
        </m:r>
      </m:oMath>
      <w:r>
        <w:t xml:space="preserve"> </w:t>
      </w:r>
      <w:r>
        <w:t xml:space="preserve">= 0.264, SE = 0.138, t = 1.92, p = .055), indicating mild selection at the extensive margin of export participation. The key DAI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w:t>
      </w:r>
      <m:oMath>
        <m:r>
          <m:t>Δ</m:t>
        </m:r>
      </m:oMath>
      <w:r>
        <w:t xml:space="preserve">|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DAI</w:t>
            </w:r>
          </w:p>
        </w:tc>
        <w:tc>
          <w:tcPr/>
          <w:p>
            <w:pPr>
              <w:pStyle w:val="Compact"/>
              <w:jc w:val="left"/>
            </w:pPr>
            <w:r>
              <w:t xml:space="preserve">Joint F (p)</w:t>
            </w:r>
          </w:p>
        </w:tc>
        <w:tc>
          <w:tcPr/>
          <w:p>
            <w:pPr>
              <w:pStyle w:val="Compact"/>
              <w:jc w:val="left"/>
            </w:pPr>
            <w:r>
              <w:t xml:space="preserve">Adj.</w:t>
            </w:r>
            <w:r>
              <w:t xml:space="preserve"> </w:t>
            </w:r>
            <m:oMath>
              <m:sSup>
                <m:e>
                  <m:r>
                    <m:t>R</m:t>
                  </m:r>
                </m:e>
                <m:sup>
                  <m:r>
                    <m:t>2</m:t>
                  </m:r>
                </m:sup>
              </m:sSup>
            </m:oMath>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signals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w:t>
      </w:r>
      <m:oMath>
        <m:r>
          <m:rPr>
            <m:sty m:val="p"/>
          </m:rPr>
          <m:t>≈</m:t>
        </m:r>
      </m:oMath>
      <w:r>
        <w:t xml:space="preserve">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w:t>
      </w:r>
      <m:oMath>
        <m:r>
          <m:t>β</m:t>
        </m:r>
      </m:oMath>
      <w:r>
        <w:t xml:space="preserve">=+3.119, p = .005)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w:t>
      </w:r>
      <m:oMath>
        <m:r>
          <m:t>β</m:t>
        </m:r>
      </m:oMath>
      <w:r>
        <w:t xml:space="preserve"> </w:t>
      </w:r>
      <w:r>
        <w:t xml:space="preserve">=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bookmarkEnd w:id="64"/>
    <w:bookmarkStart w:id="65"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bookmarkEnd w:id="65"/>
    <w:bookmarkStart w:id="66" w:name="conflict-of-interest"/>
    <w:p>
      <w:pPr>
        <w:pStyle w:val="Heading2"/>
      </w:pPr>
      <w:r>
        <w:t xml:space="preserve">Conflict of Interest</w:t>
      </w:r>
    </w:p>
    <w:p>
      <w:pPr>
        <w:pStyle w:val="FirstParagraph"/>
      </w:pPr>
      <w:r>
        <w:t xml:space="preserve">The authors declare no conflict of interest.</w:t>
      </w:r>
    </w:p>
    <w:bookmarkEnd w:id="66"/>
    <w:bookmarkStart w:id="6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7"/>
    <w:bookmarkStart w:id="6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and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8"/>
    <w:bookmarkStart w:id="98"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9">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0">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1">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2">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3">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4">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5">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6">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7">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8">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9">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0">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1">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2">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3">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6">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7">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8">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9">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0">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1">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2">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3">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4">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5">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6">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7">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8"/>
    <w:bookmarkEnd w:id="9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5"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8"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77" Target="https://doi.org/10.1111/j.1468-0335.1937.tb00002.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gsj.1336" TargetMode="External" /><Relationship Type="http://schemas.openxmlformats.org/officeDocument/2006/relationships/hyperlink" Id="rId80"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3" Target="https://doi.org/10.1016/j.ibusrev.2017.07.003" TargetMode="External" /><Relationship Type="http://schemas.openxmlformats.org/officeDocument/2006/relationships/hyperlink" Id="rId78"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70" Target="https://doi.org/10.1016/j.leaqua.2010.10.010" TargetMode="External" /><Relationship Type="http://schemas.openxmlformats.org/officeDocument/2006/relationships/hyperlink" Id="rId69" Target="https://doi.org/10.1037/0021-9010.90.1.94" TargetMode="External" /><Relationship Type="http://schemas.openxmlformats.org/officeDocument/2006/relationships/hyperlink" Id="rId79"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2" Target="https://doi.org/10.1057/s41267-019-00243-7" TargetMode="External" /><Relationship Type="http://schemas.openxmlformats.org/officeDocument/2006/relationships/hyperlink" Id="rId71"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77" Target="https://doi.org/10.1111/j.1468-0335.1937.tb00002.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3" Target="https://doi.org/10.1177/014920639101700108" TargetMode="External" /><Relationship Type="http://schemas.openxmlformats.org/officeDocument/2006/relationships/hyperlink" Id="rId75" Target="https://doi.org/10.1257/mac.20180386" TargetMode="External" /><Relationship Type="http://schemas.openxmlformats.org/officeDocument/2006/relationships/hyperlink" Id="rId76" Target="https://doi.org/10.2307/2393553" TargetMode="External" /><Relationship Type="http://schemas.openxmlformats.org/officeDocument/2006/relationships/hyperlink" Id="rId74"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2" Target="https://doi.org/10.5465/256948" TargetMode="External" /><Relationship Type="http://schemas.openxmlformats.org/officeDocument/2006/relationships/hyperlink" Id="rId81"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2026-06-02T00:06:05Z</dcterms:created>
  <dcterms:modified xsi:type="dcterms:W3CDTF">2026-06-02T00:06:05Z</dcterms:modified>
</cp:coreProperties>
</file>

<file path=docProps/custom.xml><?xml version="1.0" encoding="utf-8"?>
<Properties xmlns="http://schemas.openxmlformats.org/officeDocument/2006/custom-properties" xmlns:vt="http://schemas.openxmlformats.org/officeDocument/2006/docPropsVTypes"/>
</file>