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Technological Capability, Digital Adoption, and the Internationalisation–Performance Relationship: A Firm-Level Study of Singapore</w:t>
      </w:r>
    </w:p>
    <w:p>
      <w:pPr>
        <w:pStyle w:val="BodyText"/>
      </w:pPr>
      <w:r>
        <w:rPr>
          <w:iCs/>
          <w:i/>
        </w:rPr>
        <w:t xml:space="preserve">Target journal:</w:t>
      </w:r>
      <w:r>
        <w:t xml:space="preserve"> </w:t>
      </w:r>
      <w:r>
        <w:t xml:space="preserve">Journal of Asian Business and Economic Studies (JABES), Emerald Publishing on behalf of University of Economics Ho Chi Minh City (UEH)</w:t>
      </w:r>
    </w:p>
    <w:p>
      <w:pPr>
        <w:pStyle w:val="BodyText"/>
      </w:pPr>
      <w:r>
        <w:rPr>
          <w:iCs/>
          <w:i/>
        </w:rPr>
        <w:t xml:space="preserve">Submission date:</w:t>
      </w:r>
      <w:r>
        <w:t xml:space="preserve"> </w:t>
      </w:r>
      <w:r>
        <w:t xml:space="preserve">2 June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School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thuyhuongctu@gmail.com</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School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Replication materials are available from the corresponding author upon reasonable request and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8,500 words</w:t>
            </w:r>
          </w:p>
        </w:tc>
      </w:tr>
      <w:tr>
        <w:tc>
          <w:tcPr/>
          <w:p>
            <w:pPr>
              <w:pStyle w:val="Compact"/>
              <w:jc w:val="left"/>
            </w:pPr>
            <w:r>
              <w:t xml:space="preserve">Tables</w:t>
            </w:r>
          </w:p>
        </w:tc>
        <w:tc>
          <w:tcPr/>
          <w:p>
            <w:pPr>
              <w:pStyle w:val="Compact"/>
              <w:jc w:val="left"/>
            </w:pPr>
            <w:r>
              <w:t xml:space="preserve">12 (inline; including hierarchical regression Table 2, marginal-effects Table 4, robustness Table 3, plus 9 supplementary tables for descriptive statistics and Sections 4.5 diagnostics)</w:t>
            </w:r>
          </w:p>
        </w:tc>
      </w:tr>
      <w:tr>
        <w:tc>
          <w:tcPr/>
          <w:p>
            <w:pPr>
              <w:pStyle w:val="Compact"/>
              <w:jc w:val="left"/>
            </w:pPr>
            <w:r>
              <w:t xml:space="preserve">Figures</w:t>
            </w:r>
          </w:p>
        </w:tc>
        <w:tc>
          <w:tcPr/>
          <w:p>
            <w:pPr>
              <w:pStyle w:val="Compact"/>
              <w:jc w:val="left"/>
            </w:pPr>
            <w:r>
              <w:t xml:space="preserve">10 (inline; conceptual model Figure 1, DAI marginal-effects Figure 2, predicted I–P curve Figure 3, plus 7 supplementary diagnostic figures)</w:t>
            </w:r>
          </w:p>
        </w:tc>
      </w:tr>
      <w:tr>
        <w:tc>
          <w:tcPr/>
          <w:p>
            <w:pPr>
              <w:pStyle w:val="Compact"/>
              <w:jc w:val="left"/>
            </w:pPr>
            <w:r>
              <w:t xml:space="preserve">Keywords</w:t>
            </w:r>
          </w:p>
        </w:tc>
        <w:tc>
          <w:tcPr/>
          <w:p>
            <w:pPr>
              <w:pStyle w:val="Compact"/>
              <w:jc w:val="left"/>
            </w:pPr>
            <w:r>
              <w:t xml:space="preserve">internationalisation–performance relationship; digital adoption; technological capability; export intensity; labour productivity; Singapore</w:t>
            </w:r>
          </w:p>
        </w:tc>
      </w:tr>
      <w:tr>
        <w:tc>
          <w:tcPr/>
          <w:p>
            <w:pPr>
              <w:pStyle w:val="Compact"/>
              <w:jc w:val="left"/>
            </w:pPr>
            <w:r>
              <w:t xml:space="preserve">JEL codes</w:t>
            </w:r>
          </w:p>
        </w:tc>
        <w:tc>
          <w:tcPr/>
          <w:p>
            <w:pPr>
              <w:pStyle w:val="Compact"/>
              <w:jc w:val="left"/>
            </w:pPr>
            <w:r>
              <w:t xml:space="preserve">F23, O33, L25, O53</w:t>
            </w:r>
          </w:p>
        </w:tc>
      </w:tr>
      <w:tr>
        <w:tc>
          <w:tcPr/>
          <w:p>
            <w:pPr>
              <w:pStyle w:val="Compact"/>
              <w:jc w:val="left"/>
            </w:pPr>
            <w:r>
              <w:t xml:space="preserve">Data source</w:t>
            </w:r>
          </w:p>
        </w:tc>
        <w:tc>
          <w:tcPr/>
          <w:p>
            <w:pPr>
              <w:pStyle w:val="Compact"/>
              <w:jc w:val="left"/>
            </w:pPr>
            <w:r>
              <w:t xml:space="preserve">World Bank Enterprise Survey (Singapore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5" Target="mailto:patu@ctu.edu.vn" TargetMode="External" /><Relationship Type="http://schemas.openxmlformats.org/officeDocument/2006/relationships/hyperlink" Id="rId22"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2026-06-02T00:06:06Z</dcterms:created>
  <dcterms:modified xsi:type="dcterms:W3CDTF">2026-06-02T00:06:06Z</dcterms:modified>
</cp:coreProperties>
</file>

<file path=docProps/custom.xml><?xml version="1.0" encoding="utf-8"?>
<Properties xmlns="http://schemas.openxmlformats.org/officeDocument/2006/custom-properties" xmlns:vt="http://schemas.openxmlformats.org/officeDocument/2006/docPropsVTypes"/>
</file>