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với citation APA 7th cho từng lập luận khoa học.</w:t>
      </w:r>
    </w:p>
    <w:bookmarkStart w:id="20" w:name="X0f4238c82cb805e291650df69e46f751f2d2d93"/>
    <w:p>
      <w:pPr>
        <w:pStyle w:val="Heading2"/>
      </w:pPr>
      <w:r>
        <w:t xml:space="preserve">1. Logic xây dựng khung lý thuyết</w:t>
      </w:r>
    </w:p>
    <w:p>
      <w:pPr>
        <w:pStyle w:val="FirstParagraph"/>
      </w:pPr>
      <w:r>
        <w:t xml:space="preserve">Literature về internationalization–firm performance đã trải qua nhiều thập kỷ nhưng vẫn chưa đạt được đồng thuận lý thuyết hay thực nghiệm. Các meta-analyses cho thấy tác động tổng hợp là dương nhưng nhỏ và mức heterogeneity rất cao, hàm ý rằng quan hệ này không thể được giải thích đầy đủ bằng một lý thuyết đơn lẻ (Bausch &amp; Krist, 2007; Kirca et al., 2012; Marano et al., 2016; Wu et al., 2022). Vì vậy, luận án lựa chọn tiếp cận bằng một</w:t>
      </w:r>
      <w:r>
        <w:t xml:space="preserve"> </w:t>
      </w:r>
      <w:r>
        <w:rPr>
          <w:bCs/>
          <w:b/>
        </w:rPr>
        <w:t xml:space="preserve">khung giải thích tích hợp đa tầng</w:t>
      </w:r>
      <w:r>
        <w:t xml:space="preserve">, trong đó bốn lý thuyết kinh điển của kinh doanh quốc tế được kết hợp với một lớp mở rộng về năng lực số để phản ánh chuyển đổi số và bối cảnh AI đương đại.</w:t>
      </w:r>
    </w:p>
    <w:bookmarkEnd w:id="20"/>
    <w:bookmarkStart w:id="25" w:name="Xb23fc68d45d31b4b5d5b8d3b13be3cbd0d50fa7"/>
    <w:p>
      <w:pPr>
        <w:pStyle w:val="Heading2"/>
      </w:pPr>
      <w:r>
        <w:t xml:space="preserve">2. Bốn lý thuyết nền</w:t>
      </w:r>
    </w:p>
    <w:bookmarkStart w:id="21" w:name="X913dd336662a813d8e8939ff7bbb411d335cbb8"/>
    <w:p>
      <w:pPr>
        <w:pStyle w:val="Heading3"/>
      </w:pPr>
      <w:r>
        <w:t xml:space="preserve">2.1 Uppsala Internationalization Model</w:t>
      </w:r>
    </w:p>
    <w:p>
      <w:pPr>
        <w:pStyle w:val="FirstParagraph"/>
      </w:pPr>
      <w:r>
        <w:t xml:space="preserve">Uppsala model (Johanson &amp; Vahlne, 1977, 2009) giải thích rằng quốc tế hóa là một quá trình tích lũy tri thức và cam kết tăng dần, trong đó doanh nghiệp phải đối mặt với liability of foreignness và liability of outsidership khi thâm nhập thị trường nước ngoài (Johanson &amp; Vahlne, 2009; Zaheer, 1995). Mô hình này đặt nền cho lập luận về chi phí thâm nhập ban đầu và lý do vì sao quan hệ internationalization–firm performance có thể mang tính phi tuyến với giai đoạn chi phí cao trước khi xuất hiện lợi ích rõ rệt (Lu &amp; Beamish, 2004; Contractor et al., 2003).</w:t>
      </w:r>
    </w:p>
    <w:p>
      <w:pPr>
        <w:pStyle w:val="BodyText"/>
      </w:pPr>
      <w:r>
        <w:t xml:space="preserve">Tuy nhiên, Uppsala cổ điển được phát triển trong bối cảnh tiền số, nên đã bị thách thức mạnh trong những năm gần đây khi born-global firms và platform firms quốc tế hóa nhanh, sớm và không theo trình tự tuần tự truyền thống (Stallkamp &amp; Schotter, 2021; Yang et al., 2025). Trong luận án, Uppsala không bị bác bỏ, mà được</w:t>
      </w:r>
      <w:r>
        <w:t xml:space="preserve"> </w:t>
      </w:r>
      <w:r>
        <w:rPr>
          <w:bCs/>
          <w:b/>
        </w:rPr>
        <w:t xml:space="preserve">tái định vị</w:t>
      </w:r>
      <w:r>
        <w:t xml:space="preserve"> </w:t>
      </w:r>
      <w:r>
        <w:t xml:space="preserve">như một tầng nền cho chi phí học hỏi và bất định, còn cơ chế học hỏi được mở rộng để bao gồm "data-augmented learning" trong kỷ nguyên số (Banalieva &amp; Dhanaraj, 2019; Verhoef et al., 2021).</w:t>
      </w:r>
    </w:p>
    <w:bookmarkEnd w:id="21"/>
    <w:bookmarkStart w:id="22" w:name="X4542922f57f7e5c41ddc4e3f48ecc81a53660ae"/>
    <w:p>
      <w:pPr>
        <w:pStyle w:val="Heading3"/>
      </w:pPr>
      <w:r>
        <w:t xml:space="preserve">2.2 Resource-Based View</w:t>
      </w:r>
    </w:p>
    <w:p>
      <w:pPr>
        <w:pStyle w:val="FirstParagraph"/>
      </w:pPr>
      <w:r>
        <w:t xml:space="preserve">Resource-Based View (Wernerfelt, 1984; Barney, 1991) cho rằng sự khác biệt về hiệu quả hoạt động giữa các doanh nghiệp bắt nguồn từ sự khác biệt trong sở hữu và khai thác các nguồn lực có giá trị, hiếm có, khó sao chép và khó thay thế (VRIN). Áp dụng vào bối cảnh quốc tế hóa, RBV giải thích vì sao cùng một mức độ quan hệ với thị trường nước ngoài nhưng các doanh nghiệp lại đạt hiệu quả rất khác nhau, bởi vậy các doanh nghiệp sở hữu năng lực công nghệ, năng lực quản trị và năng lực học hỏi tốt hơn sẽ chuyển hóa internationalization thành hiệu quả vượt trội (Hitt et al., 2006; Peng, 2001).</w:t>
      </w:r>
    </w:p>
    <w:p>
      <w:pPr>
        <w:pStyle w:val="BodyText"/>
      </w:pPr>
      <w:r>
        <w:t xml:space="preserve">Trong bối cảnh đương đại, RBV được mở rộng bằng dynamic capabilities (Teece et al., 1997) và đặc biệt là digital capabilities, cho phép doanh nghiệp tái cấu hình nguồn lực để ứng phó với bất định trong quốc tế hóa (Bhandari et al., 2023; Verhoef et al., 2021). Trong luận án, RBV cung cấp cơ sở lý thuyết cho giả thuyết về vai trò của technological capability và digital adoption như hai construct điều tiết khác nhau.</w:t>
      </w:r>
    </w:p>
    <w:bookmarkEnd w:id="22"/>
    <w:bookmarkStart w:id="23" w:name="X7d5670e9fc48a1e025e7c624dd9bb32f6137a34"/>
    <w:p>
      <w:pPr>
        <w:pStyle w:val="Heading3"/>
      </w:pPr>
      <w:r>
        <w:t xml:space="preserve">2.3 Institutional Theory</w:t>
      </w:r>
    </w:p>
    <w:p>
      <w:pPr>
        <w:pStyle w:val="FirstParagraph"/>
      </w:pPr>
      <w:r>
        <w:t xml:space="preserve">Institutional Theory (North, 1990; Scott, 1995; Khanna &amp; Palepu, 2010) cho rằng thể chế tạo ra cấu trúc khuyến khích, chi phí giao dịch và mức bất định khác nhau giữa các quốc gia, do đó cả chiến lược quốc tế hóa và hiệu quả của nó đều phụ thuộc vào môi trường thể chế của nơi doanh nghiệp hoạt động. Ở emerging markets,</w:t>
      </w:r>
      <w:r>
        <w:t xml:space="preserve"> </w:t>
      </w:r>
      <w:r>
        <w:rPr>
          <w:bCs/>
          <w:b/>
        </w:rPr>
        <w:t xml:space="preserve">institutional voids</w:t>
      </w:r>
      <w:r>
        <w:t xml:space="preserve"> </w:t>
      </w:r>
      <w:r>
        <w:t xml:space="preserve">— tức thiếu hụt các thể chế trung gian hỗ trợ giao dịch thị trường — tạo ra chi phí tăng thêm và dị biệt hiệu quả doanh nghiệp (Khanna &amp; Palepu, 2010; Peng, 2003).</w:t>
      </w:r>
    </w:p>
    <w:p>
      <w:pPr>
        <w:pStyle w:val="BodyText"/>
      </w:pPr>
      <w:r>
        <w:t xml:space="preserve">Marano et al. (2016) cung cấp meta-analytic evidence cho thấy home country institutions điều tiết mối quan hệ internationalization–performance, trong khi Cuervo-Cazurra et al. (2018) chỉ ra rằng home country uncertainty tạo ra năng lực quản lý bất định ở doanh nghiệp emerging market. Trong luận án, Institutional Theory cung cấp nền lý thuyết cho giả thuyết về vai trò điều tiết của institutional obstacles và cơ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w:t>
      </w:r>
      <w:r>
        <w:t xml:space="preserve">phân loại 47 nền kinh tế thành 6 sub-regime: Advanced Innovation-Driven (Singapore), Advanced Resource-Driven (GCC), Upper-middle, Emerging, Frontier, và Pacific SIDS — mở rộng từ phân loại thể chế của Khanna và Palepu (2010) và WGI (Kaufmann et al., 2011).</w:t>
      </w:r>
    </w:p>
    <w:bookmarkEnd w:id="23"/>
    <w:bookmarkStart w:id="24" w:name="X040b1968bb3b698932034ccb3e5eb04068a00b7"/>
    <w:p>
      <w:pPr>
        <w:pStyle w:val="Heading3"/>
      </w:pPr>
      <w:r>
        <w:t xml:space="preserve">2.4 Upper Echelons Theory</w:t>
      </w:r>
    </w:p>
    <w:p>
      <w:pPr>
        <w:pStyle w:val="FirstParagraph"/>
      </w:pPr>
      <w:r>
        <w:t xml:space="preserve">Upper Echelons Theory (Hambrick &amp; Mason, 1984; Hambrick, 2007) cho rằng quyết định chiến lược và kết quả của tổ chức phản ánh đặc điểm nhận thức, giá trị và kinh nghiệm của nhà quản trị cấp cao. Áp dụng vào internationalization, kinh nghiệm quốc tế của top managers tăng khả năng nhận diện cơ hội và giảm chi phí của liability of foreignness (Hsu et al., 2013; Sambharya, 1996); gender diversity ở cấp lãnh đạo cũng được chứng minh có vụ động đến kết quả doanh nghiệp qua cơ chế nhận thức đa chiều và quản trị rủi ro tốt hơn (Post &amp; Byron, 2015).</w:t>
      </w:r>
    </w:p>
    <w:p>
      <w:pPr>
        <w:pStyle w:val="BodyText"/>
      </w:pPr>
      <w:r>
        <w:t xml:space="preserve">Trong luận án, Upper Echelons Theory cung cấp nền lý thuyết cho giả thuyết về vai trò điều tiết của top manager experience và gender, bổ sung cho tầng thể chế và tầng năng lực để tạo thành khung giải thích đa tầng.</w:t>
      </w:r>
    </w:p>
    <w:bookmarkEnd w:id="24"/>
    <w:bookmarkEnd w:id="25"/>
    <w:bookmarkStart w:id="26" w:name="X1e8a6084c1413d4e1d4259246d469a8e0cd77ac"/>
    <w:p>
      <w:pPr>
        <w:pStyle w:val="Heading2"/>
      </w:pPr>
      <w:r>
        <w:t xml:space="preserve">3. Lớp mở rộng: Digital Capability Lens</w:t>
      </w:r>
    </w:p>
    <w:p>
      <w:pPr>
        <w:pStyle w:val="FirstParagraph"/>
      </w:pPr>
      <w:r>
        <w:t xml:space="preserve">Chủ đề chuyển đổi số và internationalization đã phát triển nhanh từ 2019 đến nay. Banalieva và Dhanaraj (2019) đề xuất rằng internalization theory cần được cập nhật cho digital economy vì dữ liệu số và những platform-based interactions làm giảm sự phụ thuộc vào hiện diện vật lý. Stallkamp và Schotter (2021) chỉ ra rằng platforms quốc tế hóa theo logic khác hẳn traditional MNCs, và Verhoef et al. (2021) cung cấp khung khái niệm phân biệt three stages: digitization, digitalization, và digital transformation. Yang et al. (2025) mở rộng hướng này với systematic review về internationalization của digital firms.</w:t>
      </w:r>
    </w:p>
    <w:p>
      <w:pPr>
        <w:pStyle w:val="BodyText"/>
      </w:pPr>
      <w:r>
        <w:t xml:space="preserve">Trong luận án, digital capability lens đóng vai trò mở rộng RBV bằng cách xác định hai construct độc lập:</w:t>
      </w:r>
    </w:p>
    <w:p>
      <w:pPr>
        <w:numPr>
          <w:ilvl w:val="0"/>
          <w:numId w:val="1001"/>
        </w:numPr>
        <w:pStyle w:val="Compact"/>
      </w:pPr>
      <w:r>
        <w:rPr>
          <w:bCs/>
          <w:b/>
        </w:rPr>
        <w:t xml:space="preserve">Technological capability</w:t>
      </w:r>
      <w:r>
        <w:t xml:space="preserve">: chiều sâu của năng lực công nghệ nhập vào tổ chức (foreign technology licensing, R&amp;D, quality certification).</w:t>
      </w:r>
    </w:p>
    <w:p>
      <w:pPr>
        <w:numPr>
          <w:ilvl w:val="0"/>
          <w:numId w:val="1001"/>
        </w:numPr>
        <w:pStyle w:val="Compact"/>
      </w:pPr>
      <w:r>
        <w:rPr>
          <w:bCs/>
          <w:b/>
        </w:rPr>
        <w:t xml:space="preserve">Digital adoption</w:t>
      </w:r>
      <w:r>
        <w:t xml:space="preserve">: mức độ áp dụng công cụ số bề mặt (website, email, e-payment, online sales).</w:t>
      </w:r>
    </w:p>
    <w:p>
      <w:pPr>
        <w:pStyle w:val="FirstParagraph"/>
      </w:pPr>
      <w:r>
        <w:t xml:space="preserve">Hai construct này không đồng nhất và có thể vận hành khác nhau trong I–P relationship (Bhandari et al., 2023; Bustamante et al., 2022; Chen &amp; Meng, 2022).</w:t>
      </w:r>
    </w:p>
    <w:bookmarkEnd w:id="26"/>
    <w:bookmarkStart w:id="27" w:name="X06281f1dcfe787e65844699bf1bbebb8f547d7f"/>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 institutional, capability, managerial và relationship-shape — với lớp mở rộng digital. Các loại moderation được khám phá gồm main effect, two-way interaction và three-way interaction tuỳ mức độ dữ liệu cho phép.</w:t>
      </w:r>
    </w:p>
    <w:bookmarkEnd w:id="27"/>
    <w:bookmarkStart w:id="35" w:name="X67d7c27335c27f2fadc02a2ebb6c1da9dfce107"/>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turning point tối ưu trước khi chi phí điều phối và bất định vượt qua lợi ích từ mở rộng.</w:t>
      </w:r>
    </w:p>
    <w:p>
      <w:pPr>
        <w:pStyle w:val="BodyText"/>
      </w:pPr>
      <w:r>
        <w:t xml:space="preserve">Cơ sở lý thuyết: Lu và Beamish (2004) với S-curve hypothesis; Contractor et al. (2003) với three-stage theory; Hitt et al. (1997) với inverted-U trong product-diversified firms.</w:t>
      </w:r>
    </w:p>
    <w:bookmarkEnd w:id="28"/>
    <w:bookmarkStart w:id="29" w:name="Xd7ca5812cefb50ae7aa05484c9489f69dc92d00"/>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turning point trong phạm vi dữ liệu), phản ánh gánh nặng quốc tế hóa bắt buộc (FIP) nơi ba điều kiện cấu trúc đồng thời bị vi phạm: thị trường nội địa quá nhỏ, chi phí thương mại cực cao, và thiếu hỗ trợ thể chế.</w:t>
      </w:r>
    </w:p>
    <w:p>
      <w:pPr>
        <w:pStyle w:val="BodyText"/>
      </w:pPr>
      <w:r>
        <w:t xml:space="preserve">Cơ sở lý thuyết: North (1990) với Institutional Theory; Williamson (1985) với transaction cost theory; Khanna và Palepu (2010) với institutional voids; Lall (2004) với SIDS structural constraints. H1b là</w:t>
      </w:r>
      <w:r>
        <w:t xml:space="preserve"> </w:t>
      </w:r>
      <w:r>
        <w:rPr>
          <w:bCs/>
          <w:b/>
        </w:rPr>
        <w:t xml:space="preserve">boundary condition</w:t>
      </w:r>
      <w:r>
        <w:t xml:space="preserve"> </w:t>
      </w:r>
      <w:r>
        <w:t xml:space="preserve">của H1: H1 áp dụng khi các điều kiện cấu trúc tối thiểu được đáp ứng; H1b áp dụng khi các điều kiện đó đồng thời thất bại.</w:t>
      </w:r>
    </w:p>
    <w:bookmarkEnd w:id="29"/>
    <w:bookmarkStart w:id="30" w:name="X9a26b89d14517b085006256a13520209d33a229"/>
    <w:p>
      <w:pPr>
        <w:pStyle w:val="Heading3"/>
      </w:pPr>
      <w:r>
        <w:t xml:space="preserve">H2: Điều tiết bởi technological capability</w:t>
      </w:r>
    </w:p>
    <w:p>
      <w:pPr>
        <w:pStyle w:val="FirstParagraph"/>
      </w:pPr>
      <w:r>
        <w:rPr>
          <w:bCs/>
          <w:b/>
        </w:rPr>
        <w:t xml:space="preserve">H2</w:t>
      </w:r>
      <w:r>
        <w:t xml:space="preserve">: Technological capability làm gia tăng tác động tích cực của quốc tế hóa lên hiệu quả hoạt động của doanh nghiệp, bằng cách nâng mặt bằng performance và làm giảm chi phí học hỏi thị trường quốc tế.</w:t>
      </w:r>
    </w:p>
    <w:p>
      <w:pPr>
        <w:pStyle w:val="BodyText"/>
      </w:pPr>
      <w:r>
        <w:t xml:space="preserve">Cơ sở lý thuyết: Barney (1991) với VRIN resources; Teece et al. (1997) với dynamic capabilities; Bhandari et al. (2023) với resource-orchestration trong digital era.</w:t>
      </w:r>
    </w:p>
    <w:bookmarkEnd w:id="30"/>
    <w:bookmarkStart w:id="31" w:name="h3-điều-tiết-bởi-digital-adoption"/>
    <w:p>
      <w:pPr>
        <w:pStyle w:val="Heading3"/>
      </w:pPr>
      <w:r>
        <w:t xml:space="preserve">H3: Điều tiết bởi digital adoption</w:t>
      </w:r>
    </w:p>
    <w:p>
      <w:pPr>
        <w:pStyle w:val="FirstParagraph"/>
      </w:pPr>
      <w:r>
        <w:rPr>
          <w:bCs/>
          <w:b/>
        </w:rPr>
        <w:t xml:space="preserve">H3</w:t>
      </w:r>
      <w:r>
        <w:t xml:space="preserve">: Digital adoption điều tiết mối quan hệ internationalization–firm performance, với vai trò bổ trợ rõ rệt hơn ở mức export intensity cao do giảm coordination cost xuyên biên giới.</w:t>
      </w:r>
    </w:p>
    <w:p>
      <w:pPr>
        <w:pStyle w:val="BodyText"/>
      </w:pPr>
      <w:r>
        <w:t xml:space="preserve">Cơ sở lý thuyết: Verhoef et al. (2021) với digital transformation framework; Stallkamp và Schotter (2021) với platform internationalization; Bustamante et al. (2022) với vai trò của digital capabilities trong SME internationalization. Phân biệt với H2: technological capability chủ yếu tác động như một level shifter, còn digital adoption thay đổi độ dốc hoặc độ cong của đường quan hệ.</w:t>
      </w:r>
    </w:p>
    <w:bookmarkEnd w:id="31"/>
    <w:bookmarkStart w:id="32" w:name="Xe9e8378d7103b98ea539edbca8a30083a370353"/>
    <w:p>
      <w:pPr>
        <w:pStyle w:val="Heading3"/>
      </w:pPr>
      <w:r>
        <w:t xml:space="preserve">H4: Điều tiết bởi top manager characteristics</w:t>
      </w:r>
    </w:p>
    <w:p>
      <w:pPr>
        <w:pStyle w:val="FirstParagraph"/>
      </w:pPr>
      <w:r>
        <w:rPr>
          <w:bCs/>
          <w:b/>
        </w:rPr>
        <w:t xml:space="preserve">H4</w:t>
      </w:r>
      <w:r>
        <w:t xml:space="preserve">: Kinh nghiệm và giới tính nữ của nhà quản trị cấp cao làm mạnh hơn tác động tích cực của quốc tế hóa lên hiệu quả hoạt động, qua cơ chế nhận thức chiến lược và quản trị bất định tốt hơn.</w:t>
      </w:r>
    </w:p>
    <w:p>
      <w:pPr>
        <w:pStyle w:val="BodyText"/>
      </w:pPr>
      <w:r>
        <w:t xml:space="preserve">Cơ sở lý thuyết: Hambrick và Mason (1984) với Upper Echelons; Hsu et al. (2013) với CEO attributes trong SME internationalization; Post và Byron (2015) với female board representation và firm performance.</w:t>
      </w:r>
    </w:p>
    <w:bookmarkEnd w:id="32"/>
    <w:bookmarkStart w:id="33" w:name="h5-điều-tiết-bởi-institutional-context"/>
    <w:p>
      <w:pPr>
        <w:pStyle w:val="Heading3"/>
      </w:pPr>
      <w:r>
        <w:t xml:space="preserve">H5: Điều tiết bởi institutional context</w:t>
      </w:r>
    </w:p>
    <w:p>
      <w:pPr>
        <w:pStyle w:val="FirstParagraph"/>
      </w:pPr>
      <w:r>
        <w:rPr>
          <w:bCs/>
          <w:b/>
        </w:rPr>
        <w:t xml:space="preserve">H5</w:t>
      </w:r>
      <w:r>
        <w:t xml:space="preserve">: Chất lượng thể chế theo khung ICRV (6 sub-regime từ Advanced Innovation-Driven đến Pacific SIDS) điều tiết tác động của institutional obstacles lên hiệu quả hoạt động trong quá trình quốc tế hóa, với digital adoption đóng vai trò "digital shield" bù đắp một phần institutional voids — với cường độ điều tiết giảm dần theo gradient ICRV từ Frontier đến Advanced.</w:t>
      </w:r>
    </w:p>
    <w:p>
      <w:pPr>
        <w:pStyle w:val="BodyText"/>
      </w:pPr>
      <w:r>
        <w:t xml:space="preserve">Cơ sở lý thuyết: North (1990) với institutions và economic performance; Khanna và Palepu (2010) với institutional voids; Marano et al. (2016) với meta-analytic evidence về home country institutions trong I–P relationship.</w:t>
      </w:r>
    </w:p>
    <w:bookmarkEnd w:id="33"/>
    <w:bookmarkStart w:id="34" w:name="h6-temporal-heterogeneity"/>
    <w:p>
      <w:pPr>
        <w:pStyle w:val="Heading3"/>
      </w:pPr>
      <w:r>
        <w:t xml:space="preserve">H6: Temporal heterogeneity</w:t>
      </w:r>
    </w:p>
    <w:p>
      <w:pPr>
        <w:pStyle w:val="FirstParagraph"/>
      </w:pPr>
      <w:r>
        <w:rPr>
          <w:bCs/>
          <w:b/>
        </w:rPr>
        <w:t xml:space="preserve">H6</w:t>
      </w:r>
      <w:r>
        <w:t xml:space="preserve">: Hình dạng phi tuyến của quan hệ internationalization–performance thay đổi theo thời gian trong các nền kinh tế chuyển đổi nhanh, phản ánh sự phát triển của năng lực doanh nghiệp và điều kiện thể chế qua các giai đoạn.</w:t>
      </w:r>
    </w:p>
    <w:p>
      <w:pPr>
        <w:pStyle w:val="BodyText"/>
      </w:pPr>
      <w:r>
        <w:t xml:space="preserve">Cơ sở lý thuyết: Wu et al. (2022) với twenty-year meta-analysis về EMNEs; Xiao et al. (2013) về China-specific governance moderators; Banalieva và Dhanaraj (2019) về evolving internalization logic trong digital era.</w:t>
      </w:r>
    </w:p>
    <w:bookmarkEnd w:id="34"/>
    <w:bookmarkEnd w:id="35"/>
    <w:bookmarkStart w:id="36" w:name="X0a2444725eaba92459713c41026a3b735044e7f"/>
    <w:p>
      <w:pPr>
        <w:pStyle w:val="Heading2"/>
      </w:pPr>
      <w:r>
        <w:t xml:space="preserve">6. Mapping giả thuyết sang phương pháp kiểm định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 (P8)</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w:t>
            </w:r>
          </w:p>
        </w:tc>
        <w:tc>
          <w:tcPr/>
          <w:p>
            <w:pPr>
              <w:pStyle w:val="Compact"/>
              <w:jc w:val="left"/>
            </w:pPr>
            <w:r>
              <w:t xml:space="preserve">Tương tác</w:t>
            </w:r>
            <w:r>
              <w:t xml:space="preserve"> </w:t>
            </w:r>
            <m:oMath>
              <m:r>
                <m:t>F</m:t>
              </m:r>
              <m:r>
                <m:t>S</m:t>
              </m:r>
              <m:r>
                <m:t>T</m:t>
              </m:r>
              <m:r>
                <m:t>S</m:t>
              </m:r>
              <m:r>
                <m:rPr>
                  <m:sty m:val="p"/>
                </m:rPr>
                <m:t>×</m:t>
              </m:r>
              <m:r>
                <m:t>M</m:t>
              </m:r>
              <m:r>
                <m:t>a</m:t>
              </m:r>
              <m:r>
                <m:t>n</m:t>
              </m:r>
              <m:r>
                <m:t>a</m:t>
              </m:r>
              <m:r>
                <m:t>g</m:t>
              </m:r>
              <m:r>
                <m:t>e</m:t>
              </m:r>
              <m:sSub>
                <m:e>
                  <m:r>
                    <m:t>r</m:t>
                  </m:r>
                </m:e>
                <m:sub>
                  <m:r>
                    <m:t>e</m:t>
                  </m:r>
                  <m:r>
                    <m:t>x</m:t>
                  </m:r>
                  <m:r>
                    <m:t>p</m:t>
                  </m:r>
                </m:sub>
              </m:sSub>
            </m:oMath>
            <w:r>
              <w:t xml:space="preserve"> </w:t>
            </w:r>
            <w:r>
              <w:t xml:space="preserve">và</w:t>
            </w:r>
            <w:r>
              <w:t xml:space="preserve"> </w:t>
            </w:r>
            <m:oMath>
              <m:r>
                <m:t>F</m:t>
              </m:r>
              <m:r>
                <m:t>S</m:t>
              </m:r>
              <m:r>
                <m:t>T</m:t>
              </m:r>
              <m:r>
                <m:t>S</m:t>
              </m:r>
              <m:r>
                <m:rPr>
                  <m:sty m:val="p"/>
                </m:rPr>
                <m:t>×</m:t>
              </m:r>
              <m:r>
                <m:t>M</m:t>
              </m:r>
              <m:r>
                <m:t>a</m:t>
              </m:r>
              <m:r>
                <m:t>n</m:t>
              </m:r>
              <m:r>
                <m:t>a</m:t>
              </m:r>
              <m:r>
                <m:t>g</m:t>
              </m:r>
              <m:r>
                <m:t>e</m:t>
              </m:r>
              <m:sSub>
                <m:e>
                  <m:r>
                    <m:t>r</m:t>
                  </m:r>
                </m:e>
                <m:sub>
                  <m:r>
                    <m:t>g</m:t>
                  </m:r>
                  <m:r>
                    <m:t>e</m:t>
                  </m:r>
                  <m:r>
                    <m:t>n</m:t>
                  </m:r>
                  <m:r>
                    <m:t>d</m:t>
                  </m:r>
                  <m:r>
                    <m:t>e</m:t>
                  </m:r>
                  <m:r>
                    <m:t>r</m:t>
                  </m:r>
                </m:sub>
              </m:sSub>
            </m:oMath>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X2810c7ffc44c901c9ca5c26e4d959f62e9ae9a2"/>
    <w:p>
      <w:pPr>
        <w:pStyle w:val="Heading2"/>
      </w:pPr>
      <w:r>
        <w:t xml:space="preserve">7. Kết nối với literature quốc tế</w:t>
      </w:r>
    </w:p>
    <w:p>
      <w:pPr>
        <w:pStyle w:val="FirstParagraph"/>
      </w:pPr>
      <w:r>
        <w:t xml:space="preserve">Khung bốn tầng + digital lens của luận án đối thoại trực tiếp với ba dý ng nghiên cứu chính trong literature đương đại. Thứ nhất, dý ng meta-analysis về I–P relationship (Bausch &amp; Krist, 2007; Kirca et al., 2012; Marano et al., 2016; Wu et al., 2022; Arte &amp; Larimo, 2022) cung cấp baseline về mức độ của hiệu ứng và heterogeneity. Thứ hai, dý ng nghiên cứu về emerging market multinationals và institutional environments (Cuervo-Cazurra et al., 2018; Khanna &amp; Palepu, 2010; Peng, 2003) cung cấp lực đẩy lý thuyết cho tầng thể chế. Thứ ba, dý ng digital internationalization (Banalieva &amp; Dhanaraj, 2019; Stallkamp &amp; Schotter, 2021; Verhoef et al., 2021; Yang et al., 2025) cung cấp lớp mở rộng cho kỷ nguyên số.</w:t>
      </w:r>
    </w:p>
    <w:p>
      <w:pPr>
        <w:pStyle w:val="BodyText"/>
      </w:pPr>
      <w:r>
        <w:t xml:space="preserve">Luận án đóng góp vào cả ba dý ng bằng việc tích hợp chúng vào một khung nhất quán và kiểm định trên dữ liệu doanh nghiệp quy mô lớn tại châu Á, một bối cảnh underrepresented trong các meta-analyses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2026-05-16T10:01:28Z</dcterms:created>
  <dcterms:modified xsi:type="dcterms:W3CDTF">2026-05-16T10:01:28Z</dcterms:modified>
</cp:coreProperties>
</file>

<file path=docProps/custom.xml><?xml version="1.0" encoding="utf-8"?>
<Properties xmlns="http://schemas.openxmlformats.org/officeDocument/2006/custom-properties" xmlns:vt="http://schemas.openxmlformats.org/officeDocument/2006/docPropsVTypes"/>
</file>