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logic đi từ bằng chứng tổng hợp ở cấp vĩ mô (meta-analytic) đến bằng chứng quốc gia cụ thể và cuối cùng là kiểm định toàn mẫu đa quốc gia. Cấu trúc trình bày gồm sáu phần chính, tương ứng với sáu nhóm phân tích chính của luận án: (i) kết quả meta-analysis ba tầng (P6); (ii) bối cảnh thể chế tiên tiến—đổi mới tại Singapore (P4); (iii) bối cảnh thể chế trung bình cao tại Trung Quốc (P5); (iv) bối cảnh chuyển đổi bậc thấp—trung tại Việt Nam (P3); (v) kiểm định toàn mẫu châu Á đa bối cảnh (P7); và (vi) trường hợp biên là các nền kinh tế đảo nhỏ đang phát triển ở Thái Bình Dương (P8). Tất cả con số thống kê được trích từ bản thảo đang chuẩn bị (Đỗ &amp; Phan, 2026, bản thảo đang chuẩn bị) và không được phép tự ý điều chỉnh.</w:t>
      </w:r>
    </w:p>
    <w:p>
      <w:r>
        <w:pict>
          <v:rect style="width:0;height:1.5pt" o:hralign="center" o:hrstd="t" o:hr="t"/>
        </w:pict>
      </w:r>
    </w:p>
    <w:bookmarkEnd w:id="20"/>
    <w:bookmarkStart w:id="25" w:name="X94937597561f43606547c220f85caafe34980e6"/>
    <w:p>
      <w:pPr>
        <w:pStyle w:val="Heading2"/>
      </w:pPr>
      <w:r>
        <w:t xml:space="preserve">4.1 Kết quả tổng hợp định lượng — Meta-analysis ba tầng (P6)</w:t>
      </w:r>
    </w:p>
    <w:bookmarkStart w:id="21" w:name="Xd031f51f753498dbe6cafd5fc586674dbcf6cc0"/>
    <w:p>
      <w:pPr>
        <w:pStyle w:val="Heading3"/>
      </w:pPr>
      <w:r>
        <w:t xml:space="preserve">4.1.1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075</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1"/>
    <w:bookmarkStart w:id="22" w:name="X249d4dd148d58674d2455c4660ffbc2a184c5d1"/>
    <w:p>
      <w:pPr>
        <w:pStyle w:val="Heading3"/>
      </w:pPr>
      <w:r>
        <w:t xml:space="preserve">4.1.2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5</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2"/>
    <w:bookmarkStart w:id="23" w:name="X1b5e7430c159cd86fc68a74f4d181bb069e3c7e"/>
    <w:p>
      <w:pPr>
        <w:pStyle w:val="Heading3"/>
      </w:pPr>
      <w:r>
        <w:t xml:space="preserve">4.1.3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 cao:</w:t>
      </w:r>
      <w:r>
        <w:t xml:space="preserve"> </w:t>
      </w:r>
      <m:oMath>
        <m:sSub>
          <m:e>
            <m:r>
              <m:t>Q</m:t>
            </m:r>
          </m:e>
          <m:sub>
            <m:r>
              <m:t>M</m:t>
            </m:r>
          </m:sub>
        </m:sSub>
        <m:r>
          <m:rPr>
            <m:sty m:val="p"/>
          </m:rPr>
          <m:t>=</m:t>
        </m:r>
        <m:r>
          <m:t>127</m:t>
        </m:r>
        <m:r>
          <m:rPr>
            <m:sty m:val="p"/>
          </m:rPr>
          <m:t>,</m:t>
        </m:r>
        <m:r>
          <m:t>77</m:t>
        </m:r>
      </m:oMath>
      <w:r>
        <w:t xml:space="preserve">,</w:t>
      </w:r>
      <w:r>
        <w:t xml:space="preserve"> </w:t>
      </w:r>
      <m:oMath>
        <m:r>
          <m:t>d</m:t>
        </m:r>
        <m:r>
          <m:t>f</m:t>
        </m:r>
        <m:r>
          <m:rPr>
            <m:sty m:val="p"/>
          </m:rPr>
          <m:t>=</m:t>
        </m:r>
        <m:r>
          <m:t>4</m:t>
        </m:r>
      </m:oMath>
      <w:r>
        <w:t xml:space="preserve">,</w:t>
      </w:r>
      <w:r>
        <w:t xml:space="preserve"> </w:t>
      </w:r>
      <m:oMath>
        <m:r>
          <m:t>p</m:t>
        </m:r>
        <m:r>
          <m:rPr>
            <m:sty m:val="p"/>
          </m:rPr>
          <m:t>&lt;</m:t>
        </m:r>
        <m:r>
          <m:rPr>
            <m:sty m:val="p"/>
          </m:rPr>
          <m:t>,</m:t>
        </m:r>
        <m:r>
          <m:t>001</m:t>
        </m:r>
      </m:oMath>
      <w:r>
        <w:t xml:space="preserve">. Điều này xác nhận rằng chế độ thể chế — được phân loại thành sáu nhóm từ Advanced Innovation-Driven (Nhóm I: Singapore, Hong Kong, Đài Loan, Hàn Quốc) đến SIDS Thái Bình Dương (Nhóm VI) — là moderator có ý nghĩa thực sự cho mối quan hệ tổng hợp I→P trong văn liệu. Kiểm định</w:t>
      </w:r>
      <w:r>
        <w:t xml:space="preserve"> </w:t>
      </w:r>
      <m:oMath>
        <m:sSub>
          <m:e>
            <m:r>
              <m:t>Q</m:t>
            </m:r>
          </m:e>
          <m:sub>
            <m:r>
              <m:t>M</m:t>
            </m:r>
          </m:sub>
        </m:sSub>
      </m:oMath>
      <w:r>
        <w:t xml:space="preserve"> </w:t>
      </w:r>
      <w:r>
        <w:t xml:space="preserve">lớn hơn nhiều so với giá trị tới hạn,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3"/>
    <w:bookmarkStart w:id="24" w:name="X6c5deb1d61b597d94fea6a9d5467893d4081d11"/>
    <w:p>
      <w:pPr>
        <w:pStyle w:val="Heading3"/>
      </w:pPr>
      <w:r>
        <w:t xml:space="preserve">4.1.4 Kiểm định publication bias</w:t>
      </w:r>
    </w:p>
    <w:p>
      <w:pPr>
        <w:pStyle w:val="FirstParagraph"/>
      </w:pPr>
      <w:r>
        <w:t xml:space="preserve">Kiểm định Egger cho kết quả</w:t>
      </w:r>
      <w:r>
        <w:t xml:space="preserve"> </w:t>
      </w:r>
      <m:oMath>
        <m:r>
          <m:t>p</m:t>
        </m:r>
        <m:r>
          <m:rPr>
            <m:sty m:val="p"/>
          </m:rPr>
          <m:t>=</m:t>
        </m:r>
        <m:r>
          <m:rPr>
            <m:sty m:val="p"/>
          </m:rPr>
          <m:t>,</m:t>
        </m:r>
        <m:r>
          <m:t>31</m:t>
        </m:r>
      </m:oMath>
      <w:r>
        <w:t xml:space="preserve"> </w:t>
      </w:r>
      <w:r>
        <w:t xml:space="preserve">(không có ý nghĩa thống kê), tức không có bằng chứng về publication bias trong tập hợp 238 nghiên cứu. Phân tích trim-and-fill điều chỉnh ước lượng hiệu ứng từ</w:t>
      </w:r>
      <w:r>
        <w:t xml:space="preserve"> </w:t>
      </w:r>
      <m:oMath>
        <m:r>
          <m:t>r</m:t>
        </m:r>
        <m:r>
          <m:rPr>
            <m:sty m:val="p"/>
          </m:rPr>
          <m:t>=</m:t>
        </m:r>
        <m:r>
          <m:t>0</m:t>
        </m:r>
        <m:r>
          <m:rPr>
            <m:sty m:val="p"/>
          </m:rPr>
          <m:t>,</m:t>
        </m:r>
        <m:r>
          <m:t>075</m:t>
        </m:r>
      </m:oMath>
      <w:r>
        <w:t xml:space="preserve"> </w:t>
      </w:r>
      <w:r>
        <w:t xml:space="preserve">xuống</w:t>
      </w:r>
      <w:r>
        <w:t xml:space="preserve"> </w:t>
      </w:r>
      <m:oMath>
        <m:r>
          <m:t>r</m:t>
        </m:r>
        <m:r>
          <m:rPr>
            <m:sty m:val="p"/>
          </m:rPr>
          <m:t>=</m:t>
        </m:r>
        <m:r>
          <m:t>0</m:t>
        </m:r>
        <m:r>
          <m:rPr>
            <m:sty m:val="p"/>
          </m:rPr>
          <m:t>,</m:t>
        </m:r>
        <m:r>
          <m:t>068</m:t>
        </m:r>
      </m:oMath>
      <w:r>
        <w:t xml:space="preserve"> </w:t>
      </w:r>
      <w:r>
        <w:t xml:space="preserve">— mức điều chỉnh nhỏ (chưa đến 10%) và không làm thay đổi bất kỳ kết luận nào về chiều hướng hay ý nghĩa của quan hệ tổng hợp. Kết quả này tăng cường độ tin cậy của pooled effect và đảm bảo rằng các phát hiện meta-analytic không bị méo mó do hiện tượng chỉ công bố kết quả dương tính.</w:t>
      </w:r>
    </w:p>
    <w:p>
      <w:r>
        <w:pict>
          <v:rect style="width:0;height:1.5pt" o:hralign="center" o:hrstd="t" o:hr="t"/>
        </w:pict>
      </w:r>
    </w:p>
    <w:bookmarkEnd w:id="24"/>
    <w:bookmarkEnd w:id="25"/>
    <w:bookmarkStart w:id="29" w:name="Xeacdefc5b82dce0a7e96c44195ed4509581c200"/>
    <w:p>
      <w:pPr>
        <w:pStyle w:val="Heading2"/>
      </w:pPr>
      <w:r>
        <w:t xml:space="preserve">4.2 Kết quả bối cảnh thể chế tiên tiến — Đổi mới: Singapore (P4)</w:t>
      </w:r>
    </w:p>
    <w:bookmarkStart w:id="26" w:name="Xda25c8021890fd56b2a556c5d0c8da9469b87e5"/>
    <w:p>
      <w:pPr>
        <w:pStyle w:val="Heading3"/>
      </w:pPr>
      <w:r>
        <w:t xml:space="preserve">4.2.1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88,6%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 Điều này nhất quán với lợi thế thể chế đặc thù của Singapore: nền kinh tế mở, hệ thống pháp lý mạnh, cơ sở hạ tầng thương mại hàng đầu thế giới, và mạng lưới thỏa thuận thương mại tự do rộng khắp cho phép giảm chi phí giao dịch xuyên biên giới.</w:t>
      </w:r>
    </w:p>
    <w:bookmarkEnd w:id="26"/>
    <w:bookmarkStart w:id="27" w:name="X86a529485cdbcaa7517ee410d8d7cfe4636a1c0"/>
    <w:p>
      <w:pPr>
        <w:pStyle w:val="Heading3"/>
      </w:pPr>
      <w:r>
        <w:t xml:space="preserve">4.2.2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p>
      <w:pPr>
        <w:pStyle w:val="BodyText"/>
      </w:pPr>
      <w:r>
        <w:t xml:space="preserve">Kết quả này có ý nghĩa lý thuyết quan trọng: ở bối cảnh Advanced Innovation (Nhóm I), nơi cơ sở hạ tầng số đã phát triển đầy đủ, DAI phát huy vai trò điều tiết đáng kể trong quá trình quốc tế hóa. Kết quả P7 (49 nền kinh tế) sau đó xác nhận DAI có level effect phổ quát (β=+0,155***) và cơ chế "digital shield" — DAI×ICRV p=.012, mạnh nhất tại các bối cảnh thể chế yếu (Frontier/SIDS), không chỉ Advanced.</w:t>
      </w:r>
    </w:p>
    <w:bookmarkEnd w:id="27"/>
    <w:bookmarkStart w:id="28" w:name="Xbcac39ed7d72f54219e0a2446248eea6d1a660c"/>
    <w:p>
      <w:pPr>
        <w:pStyle w:val="Heading3"/>
      </w:pPr>
      <w:r>
        <w:t xml:space="preserve">4.2.3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Điều này có nghĩa là ngay cả khi hiệu ứng thực sự tồn tại, khả năng phát hiện nó với mẫu nhỏ như vậy rất hạn chế.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28"/>
    <w:bookmarkEnd w:id="29"/>
    <w:bookmarkStart w:id="33" w:name="Xc2b143d4aef099126e1356c1323f37e08d3ab3f"/>
    <w:p>
      <w:pPr>
        <w:pStyle w:val="Heading2"/>
      </w:pPr>
      <w:r>
        <w:t xml:space="preserve">4.3 Kết quả bối cảnh thể chế trung bình cao: Trung Quốc, 2012–2024 (P5)</w:t>
      </w:r>
    </w:p>
    <w:bookmarkStart w:id="30" w:name="X273c0712ac0fc836e0ec9604b8678a3ab65ab8e"/>
    <w:p>
      <w:pPr>
        <w:pStyle w:val="Heading3"/>
      </w:pPr>
      <w:r>
        <w:t xml:space="preserve">4.3.1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tỷ lệ doanh thu xuất khẩu ở mức gần 49%, một mức độ tập trung quốc tế vừa phải trong bối cảnh nền kinh tế nội địa khổng lồ của Trung Quốc cũng cung cấp cơ hội tăng trưởng song song.</w:t>
      </w:r>
    </w:p>
    <w:bookmarkEnd w:id="30"/>
    <w:bookmarkStart w:id="31" w:name="X91c5789c1db8c4d2b037a8ed3d356867aa44728"/>
    <w:p>
      <w:pPr>
        <w:pStyle w:val="Heading3"/>
      </w:pPr>
      <w:r>
        <w:t xml:space="preserve">4.3.2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w:t>
      </w:r>
    </w:p>
    <w:p>
      <w:pPr>
        <w:pStyle w:val="BodyText"/>
      </w:pPr>
      <w:r>
        <w:t xml:space="preserve">Phát hiện này trái ngược với H6 trong khung lý thuyết (temporal heterogeneity), nhưng lại có giá trị lý thuyết riêng: nó cho thấy rằng trong bối cảnh Upper-middle như Trung Quốc, tuy có nhiều biến động về chính sách và môi trường kinh doanh, cơ chế căn bản của quan hệ I→P vẫn duy trì tính ổn định đáng kể. Điều này có thể phản ánh sự bù trừ giữa các lực lượng: chi phí thích ứng tăng lên do chính sách thương mại khó đoán có thể được bù đắp bởi năng lực tổ chức ngày càng trưởng thành của các doanh nghiệp xuất khẩu Trung Quốc.</w:t>
      </w:r>
    </w:p>
    <w:bookmarkEnd w:id="31"/>
    <w:bookmarkStart w:id="32" w:name="Xf4c58dd74d18f0c94fb70938746fcab2bcc680b"/>
    <w:p>
      <w:pPr>
        <w:pStyle w:val="Heading3"/>
      </w:pPr>
      <w:r>
        <w:t xml:space="preserve">4.3.3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2"/>
    <w:bookmarkEnd w:id="33"/>
    <w:bookmarkStart w:id="38" w:name="X4112adf63c0c5d0129994928f00251aa7b7359c"/>
    <w:p>
      <w:pPr>
        <w:pStyle w:val="Heading2"/>
      </w:pPr>
      <w:r>
        <w:t xml:space="preserve">4.4 Kết quả bối cảnh chuyển đổi bậc thấp—trung: Việt Nam (P3)</w:t>
      </w:r>
    </w:p>
    <w:bookmarkStart w:id="34" w:name="X5d87cdb499de6203259c1e8eff13947f35772a8"/>
    <w:p>
      <w:pPr>
        <w:pStyle w:val="Heading3"/>
      </w:pPr>
      <w:r>
        <w:t xml:space="preserve">4.4.1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4"/>
    <w:bookmarkStart w:id="35" w:name="X2727d61a40bd80d560461f50cdc721a390ffad2"/>
    <w:p>
      <w:pPr>
        <w:pStyle w:val="Heading3"/>
      </w:pPr>
      <w:r>
        <w:t xml:space="preserve">4.4.2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88,6%) và tương đương hoặc thấp hơn Trung Quốc (TP ≈ 48,78%). Điều này phản ánh chi phí quốc tế hóa cao hơn trong bối cảnh thể chế chuyển đổi: môi trường thể chế chưa hoàn thiện, khoảng cách pháp lý và rào cản thông tin lớn hơn khiến điểm turning point dịch trái (thấp hơn) trên trục FSTS.</w:t>
      </w:r>
    </w:p>
    <w:p>
      <w:pPr>
        <w:pStyle w:val="BodyText"/>
      </w:pPr>
      <w:r>
        <w:t xml:space="preserve">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 Điều này có thể phản ánh sự thay đổi trong cấu trúc doanh nghiệp xuất khẩu Việt Nam sau giai đoạn hội nhập WTO và gia nhập nhiều hiệp định thương mại tự do, kéo theo làn sóng gia công xuất khẩu quy mô lớn nhưng biên lợi nhuận ngày càng cạnh tranh.</w:t>
      </w:r>
    </w:p>
    <w:bookmarkEnd w:id="35"/>
    <w:bookmarkStart w:id="36" w:name="Xd9cda3e330433fda7875e786e5594a490be6989"/>
    <w:p>
      <w:pPr>
        <w:pStyle w:val="Heading3"/>
      </w:pPr>
      <w:r>
        <w:t xml:space="preserve">4.4.3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Nói cách khác, doanh nghiệp Việt Nam có năng lực công nghệ tốt hơn (đo bằng TCI) đạt hiệu quả cao hơn từ quá trình quốc tế hóa — nhất quán với H2 trong khung lý thuyết CDCM.</w:t>
      </w:r>
    </w:p>
    <w:bookmarkEnd w:id="36"/>
    <w:bookmarkStart w:id="37" w:name="Xaf21f65b6a144c5de09c82b1caee2ca2acd1643"/>
    <w:p>
      <w:pPr>
        <w:pStyle w:val="Heading3"/>
      </w:pPr>
      <w:r>
        <w:t xml:space="preserve">4.4.4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không nhất thiết là bác bỏ H3, mà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37"/>
    <w:bookmarkEnd w:id="38"/>
    <w:bookmarkStart w:id="42" w:name="Xf0c9d964765e7fcecebb3e563eda8ebaaf5526d"/>
    <w:p>
      <w:pPr>
        <w:pStyle w:val="Heading2"/>
      </w:pPr>
      <w:r>
        <w:t xml:space="preserve">4.5 Kết quả kiểm định toàn mẫu đa bối cảnh châu Á (P7)</w:t>
      </w:r>
    </w:p>
    <w:bookmarkStart w:id="39" w:name="Xe92da71a69b2d6e7758f9289fda0742bd2234e3"/>
    <w:p>
      <w:pPr>
        <w:pStyle w:val="Heading3"/>
      </w:pPr>
      <w:r>
        <w:t xml:space="preserve">4.5.1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Khi bổ sung đầy đủ biến kiểm soát, mẫu hồi quy là</w:t>
      </w:r>
      <w:r>
        <w:t xml:space="preserve"> </w:t>
      </w:r>
      <m:oMath>
        <m:r>
          <m:t>N</m:t>
        </m:r>
        <m:r>
          <m:rPr>
            <m:sty m:val="p"/>
          </m:rPr>
          <m:t>=</m:t>
        </m:r>
        <m:r>
          <m:t>38.342</m:t>
        </m:r>
      </m:oMath>
      <w:r>
        <w:t xml:space="preserve"> </w:t>
      </w:r>
      <w:r>
        <w:t xml:space="preserve">(M3–M5).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33,8–40,0% FSTS qua M2–M9, và được xác nhận lại trong mô hình điều tiết ba chiều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w:t>
      </w:r>
    </w:p>
    <w:bookmarkEnd w:id="39"/>
    <w:bookmarkStart w:id="40" w:name="Xc568d6fd01fb41fe1ddfba785ff310c6ff56f41"/>
    <w:p>
      <w:pPr>
        <w:pStyle w:val="Heading3"/>
      </w:pPr>
      <w:r>
        <w:t xml:space="preserve">4.5.2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w:t>
      </w:r>
      <w:r>
        <w:t xml:space="preserve"> </w:t>
      </w:r>
      <w:r>
        <w:rPr>
          <w:bCs/>
          <w:b/>
        </w:rPr>
        <w:t xml:space="preserve">giảm dần</w:t>
      </w:r>
      <w:r>
        <w:t xml:space="preserve"> </w:t>
      </w:r>
      <w:r>
        <w:t xml:space="preserve">khi chuyển từ nhóm thể chế yếu hơn sang nhóm thể chế mạnh hơn. Cụ thể:</w:t>
      </w:r>
    </w:p>
    <w:p>
      <w:pPr>
        <w:pStyle w:val="BodyText"/>
      </w:pPr>
      <m:oMathPara>
        <m:oMathParaPr>
          <m:jc m:val="center"/>
        </m:oMathParaPr>
        <m:oMath>
          <m:r>
            <m:rPr>
              <m:nor/>
              <m:sty m:val="p"/>
            </m:rPr>
            <m:t>TP(Frontier/SIDS)</m:t>
          </m:r>
          <m:r>
            <m:rPr>
              <m:sty m:val="p"/>
            </m:rPr>
            <m:t>≈</m:t>
          </m:r>
          <m:r>
            <m:t>55</m:t>
          </m:r>
          <m:r>
            <m:rPr>
              <m:sty m:val="p"/>
            </m:rPr>
            <m:t>%</m:t>
          </m:r>
          <m:r>
            <m:rPr>
              <m:sty m:val="p"/>
            </m:rPr>
            <m:t>&gt;</m:t>
          </m:r>
          <m:r>
            <m:rPr>
              <m:nor/>
              <m:sty m:val="p"/>
            </m:rPr>
            <m:t>TP(Upper-middle)</m:t>
          </m:r>
          <m:r>
            <m:rPr>
              <m:sty m:val="p"/>
            </m:rPr>
            <m:t>&gt;</m:t>
          </m:r>
          <m:r>
            <m:rPr>
              <m:nor/>
              <m:sty m:val="p"/>
            </m:rPr>
            <m:t>TP(Advanced Innovation)</m:t>
          </m:r>
          <m:r>
            <m:rPr>
              <m:sty m:val="p"/>
            </m:rPr>
            <m:t>≈</m:t>
          </m:r>
          <m:r>
            <m:t>28</m:t>
          </m:r>
          <m:r>
            <m:rPr>
              <m:sty m:val="p"/>
            </m:rPr>
            <m:t>%</m:t>
          </m:r>
        </m:oMath>
      </m:oMathPara>
    </w:p>
    <w:p>
      <w:pPr>
        <w:pStyle w:val="FirstParagraph"/>
      </w:pPr>
      <w:r>
        <w:t xml:space="preserve">Gradient này nhất quán với dự đoán từ Institutional Theory: trong môi trường thể chế mạnh (Nhóm I), doanh nghiệp hoàn thu chi phí quốc tế hóa tại mức FSTS thấp hơn — đạt đỉnh hiệu quả sớm hơn. Tại các nền kinh tế thể chế yếu (Nhóm V–VI), doanh nghiệp cần mức độ quốc tế hóa cao hơn để bù đắp chi phí giao dịch, nên turning point xuất hiện muộn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127</m:t>
        </m:r>
        <m:r>
          <m:rPr>
            <m:sty m:val="p"/>
          </m:rPr>
          <m:t>,</m:t>
        </m:r>
        <m:r>
          <m:t>77</m:t>
        </m:r>
      </m:oMath>
      <w:r>
        <w:t xml:space="preserve">). Hai nguồn bằng chứng độc lập — meta-analytic và primary empirical — cùng chỉ ra gradient ICRV, tạo ra independent confirmation có giá trị.</w:t>
      </w:r>
    </w:p>
    <w:bookmarkEnd w:id="40"/>
    <w:bookmarkStart w:id="41" w:name="X32256812b2a6eeab55c6374f270a14b6f4f2077"/>
    <w:p>
      <w:pPr>
        <w:pStyle w:val="Heading3"/>
      </w:pPr>
      <w:r>
        <w:t xml:space="preserve">4.5.3 Điều tiết bởi TCI và DAI trong toàn mẫu</w:t>
      </w:r>
    </w:p>
    <w:p>
      <w:pPr>
        <w:numPr>
          <w:ilvl w:val="0"/>
          <w:numId w:val="1003"/>
        </w:numPr>
        <w:pStyle w:val="Compact"/>
      </w:pPr>
      <w:r>
        <w:rPr>
          <w:bCs/>
          <w:b/>
        </w:rPr>
        <w:t xml:space="preserve">TCI</w:t>
      </w:r>
      <w:r>
        <w:t xml:space="preserve">: có ý nghĩa thống kê dương trên toàn mẫu (~41% nâng mức năng suất mỗi đơn vị SD). Tuy nhiên, tương tác FSTS×TCI và FSTS²×TCI</w:t>
      </w:r>
      <w:r>
        <w:t xml:space="preserve"> </w:t>
      </w:r>
      <w:r>
        <w:rPr>
          <w:bCs/>
          <w:b/>
        </w:rPr>
        <w:t xml:space="preserve">không có ý nghĩa</w:t>
      </w:r>
      <w:r>
        <w:t xml:space="preserve"> </w:t>
      </w:r>
      <w:r>
        <w:t xml:space="preserve">ở toàn mẫu 49 nền kinh tế. H2</w:t>
      </w:r>
      <w:r>
        <w:t xml:space="preserve"> </w:t>
      </w:r>
      <w:r>
        <w:rPr>
          <w:bCs/>
          <w:b/>
        </w:rPr>
        <w:t xml:space="preserve">xác nhận một phần</w:t>
      </w:r>
      <w:r>
        <w:t xml:space="preserve">: TCI là yếu tố nâng mặt bằng năng suất phổ quát, nhưng vai trò uốn đường cong I→P là context-specific (chỉ xuất hiện tại P3 Việt Nam).</w:t>
      </w:r>
    </w:p>
    <w:p>
      <w:pPr>
        <w:numPr>
          <w:ilvl w:val="0"/>
          <w:numId w:val="1003"/>
        </w:numPr>
        <w:pStyle w:val="Compact"/>
      </w:pPr>
      <w:r>
        <w:rPr>
          <w:bCs/>
          <w:b/>
        </w:rPr>
        <w:t xml:space="preserve">DAI</w:t>
      </w:r>
      <w:r>
        <w:t xml:space="preserve">: có hiệu ứng trực tiếp dương và có ý nghĩa trên</w:t>
      </w:r>
      <w:r>
        <w:t xml:space="preserve"> </w:t>
      </w:r>
      <w:r>
        <w:rPr>
          <w:bCs/>
          <w:b/>
        </w:rPr>
        <w:t xml:space="preserve">toàn mẫu</w:t>
      </w:r>
      <w:r>
        <w:t xml:space="preserve"> </w:t>
      </w:r>
      <w:r>
        <w:t xml:space="preserve">(</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~17% lợi thế năng suất).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DAI×ICRV (</w:t>
      </w:r>
      <m:oMath>
        <m:r>
          <m:t>p</m:t>
        </m:r>
        <m:r>
          <m:rPr>
            <m:sty m:val="p"/>
          </m:rPr>
          <m:t>=</m:t>
        </m:r>
        <m:r>
          <m:rPr>
            <m:sty m:val="p"/>
          </m:rPr>
          <m:t>,</m:t>
        </m:r>
        <m:r>
          <m:t>012</m:t>
        </m:r>
      </m:oMath>
      <w:r>
        <w:t xml:space="preserve">) xác nhận DAI phát huy hiệu quả mạnh hơn tại các bối cảnh thể chế yếu hơn — nhất quán với CDCM (DAI bù đắp cho "institutional voids").</w:t>
      </w:r>
    </w:p>
    <w:p>
      <w:pPr>
        <w:pStyle w:val="FirstParagraph"/>
      </w:pPr>
      <w:r>
        <w:t xml:space="preserve">Kết quả P7 cung cấp bức tranh tổng thể quan trọng: DAI là hiệu ứng phổ quát trên toàn mẫu, nhưng</w:t>
      </w:r>
      <w:r>
        <w:t xml:space="preserve"> </w:t>
      </w:r>
      <w:r>
        <w:rPr>
          <w:bCs/>
          <w:b/>
        </w:rPr>
        <w:t xml:space="preserve">cơ chế cụ thể</w:t>
      </w:r>
      <w:r>
        <w:t xml:space="preserve"> </w:t>
      </w:r>
      <w:r>
        <w:t xml:space="preserve">(mức độ và hướng điều tiết đường cong) phụ thuộc vào bối cảnh ICRV — nhất quán với luận điểm CDCM về "nguồn lực tình huống".</w:t>
      </w:r>
    </w:p>
    <w:p>
      <w:r>
        <w:pict>
          <v:rect style="width:0;height:1.5pt" o:hralign="center" o:hrstd="t" o:hr="t"/>
        </w:pict>
      </w:r>
    </w:p>
    <w:bookmarkEnd w:id="41"/>
    <w:bookmarkEnd w:id="42"/>
    <w:bookmarkStart w:id="46" w:name="X515d1af7c14af57822a3e466f5faf3162bb1ab1"/>
    <w:p>
      <w:pPr>
        <w:pStyle w:val="Heading2"/>
      </w:pPr>
      <w:r>
        <w:t xml:space="preserve">4.6 Kết quả trường hợp biên SIDS — Các nền kinh tế đảo nhỏ đang phát triển (P8)</w:t>
      </w:r>
    </w:p>
    <w:bookmarkStart w:id="43" w:name="X7e5a25ed04d464a39ec903e0f1bd3583f9af729"/>
    <w:p>
      <w:pPr>
        <w:pStyle w:val="Heading3"/>
      </w:pPr>
      <w:r>
        <w:t xml:space="preserve">4.6.1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 Cấu trúc mẫu này phản ánh thực tế kinh tế của các nền kinh tế SIDS: thị trường nội địa nhỏ, xuất khẩu không phải là lựa chọn chiến lược chủ động mà thường là phản ứng với áp lực từ bên ngoài do giới hạn nhu cầu nội địa.</w:t>
      </w:r>
    </w:p>
    <w:bookmarkEnd w:id="43"/>
    <w:bookmarkStart w:id="44" w:name="X6260f847af424e7f84b1102579be5299c4b8bbf"/>
    <w:p>
      <w:pPr>
        <w:pStyle w:val="Heading3"/>
      </w:pPr>
      <w:r>
        <w:t xml:space="preserve">4.6.2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Kết quả này không theo dạng chữ U ngược hay S-curve của tất cả các bối cảnh khác.</w:t>
      </w:r>
    </w:p>
    <w:p>
      <w:pPr>
        <w:pStyle w:val="BodyText"/>
      </w:pPr>
      <w:r>
        <w:t xml:space="preserve">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Với mô hình year-FE-only (không có country FE để kiểm tra độ vững):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236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Ba specification nhất quán về chiều âm và ý nghĩa thống kê xác nhận rằng đây không phải là kết quả ngẫu nhiên do đặc thù mô hình.</w:t>
      </w:r>
    </w:p>
    <w:p>
      <w:pPr>
        <w:pStyle w:val="BodyText"/>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4"/>
    <w:bookmarkStart w:id="45" w:name="X5d63ecc045aa1562adc99da760d22f0511574f9"/>
    <w:p>
      <w:pPr>
        <w:pStyle w:val="Heading3"/>
      </w:pPr>
      <w:r>
        <w:t xml:space="preserve">4.6.3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xuất hiện trong literature IB trước đây. Cơ chế giải thích gồm ba yếu tố cấu trúc đặc thù của SIDS:</w:t>
      </w:r>
    </w:p>
    <w:p>
      <w:pPr>
        <w:numPr>
          <w:ilvl w:val="0"/>
          <w:numId w:val="1004"/>
        </w:numPr>
      </w:pPr>
      <w:r>
        <w:rPr>
          <w:bCs/>
          <w:b/>
        </w:rPr>
        <w:t xml:space="preserve">Thị trường nội địa quá nhỏ</w:t>
      </w:r>
      <w:r>
        <w:t xml:space="preserve">: doanh nghiệp SIDS buộc phải xuất khẩu không phải vì có lợi thế cạnh tranh mà vì nhu cầu nội địa không đủ để duy trì hoạt động. Đây là quốc tế hóa bắt buộc (forced internationalization), không phải quốc tế hóa chiến lược (strategic internationalization).</w:t>
      </w:r>
    </w:p>
    <w:p>
      <w:pPr>
        <w:numPr>
          <w:ilvl w:val="0"/>
          <w:numId w:val="1004"/>
        </w:numPr>
      </w:pPr>
      <w:r>
        <w:rPr>
          <w:bCs/>
          <w:b/>
        </w:rPr>
        <w:t xml:space="preserve">Chi phí hậu cần và tiếp cận thị trường cực cao</w:t>
      </w:r>
      <w:r>
        <w:t xml:space="preserve">: vị trí địa lý xa xôi và phân tán của các đảo SIDS tạo ra chi phí vận chuyển, logistics và giao dịch xuyên biên giới không tỷ lệ với giá trị hàng hóa có thể xuất khẩu.</w:t>
      </w:r>
    </w:p>
    <w:p>
      <w:pPr>
        <w:numPr>
          <w:ilvl w:val="0"/>
          <w:numId w:val="1004"/>
        </w:numPr>
      </w:pPr>
      <w:r>
        <w:rPr>
          <w:bCs/>
          <w:b/>
        </w:rPr>
        <w:t xml:space="preserve">Thiếu hỗ trợ thể chế và năng lực xuất khẩu</w:t>
      </w:r>
      <w:r>
        <w:t xml:space="preserve">: môi trường thể chế yếu (thể hiện qua kết quả DAI null trong P7), thiếu hỗ trợ chính sách xuất khẩu, và năng lực tổ chức hạn chế khiến cho việc quản lý hoạt động quốc tế hóa vượt quá khả năng của phần lớn doanh nghiệp SIDS.</w:t>
      </w:r>
    </w:p>
    <w:p>
      <w:pPr>
        <w:pStyle w:val="FirstParagraph"/>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45"/>
    <w:bookmarkEnd w:id="46"/>
    <w:bookmarkStart w:id="47" w:name="X9900e071ef3c2c84f8fdd7a95ae52c6a2109bb4"/>
    <w:p>
      <w:pPr>
        <w:pStyle w:val="Heading2"/>
      </w:pPr>
      <w:r>
        <w:t xml:space="preserve">4.7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nhưng không được tổng kết trong chương này do phạm vi</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 </w:t>
            </w:r>
            <w:r>
              <w:t xml:space="preserve">từ meta (P6) và gradient ICRV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47"/>
    <w:bookmarkEnd w:id="48"/>
    <w:bookmarkStart w:id="78" w:name="Xc1ed2bcff80d0fb5b704d4f6dbdf97fdea0e1d7"/>
    <w:p>
      <w:pPr>
        <w:pStyle w:val="Heading1"/>
      </w:pPr>
      <w:r>
        <w:t xml:space="preserve">CHƯƠNG 5: BÀN LUẬN, KẾT LUẬN VÀ HÀM Ý CHÍNH SÁCH</w:t>
      </w:r>
    </w:p>
    <w:p>
      <w:r>
        <w:pict>
          <v:rect style="width:0;height:1.5pt" o:hralign="center" o:hrstd="t" o:hr="t"/>
        </w:pict>
      </w:r>
    </w:p>
    <w:bookmarkStart w:id="49"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hàm ý chính sách và quản trị; (v) hạn chế và hướng nghiên cứu tương lai; và (vi) kết luận tổng thể của luận án.</w:t>
      </w:r>
    </w:p>
    <w:p>
      <w:r>
        <w:pict>
          <v:rect style="width:0;height:1.5pt" o:hralign="center" o:hrstd="t" o:hr="t"/>
        </w:pict>
      </w:r>
    </w:p>
    <w:bookmarkEnd w:id="49"/>
    <w:bookmarkStart w:id="54" w:name="Xa49aadb40c127a83ebe1d91ac222e3bdb8617c2"/>
    <w:p>
      <w:pPr>
        <w:pStyle w:val="Heading2"/>
      </w:pPr>
      <w:r>
        <w:t xml:space="preserve">5.1 Bàn luận kết quả theo khung lý thuyết CDCM</w:t>
      </w:r>
    </w:p>
    <w:bookmarkStart w:id="50"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127</m:t>
        </m:r>
        <m:r>
          <m:rPr>
            <m:sty m:val="p"/>
          </m:rPr>
          <m:t>,</m:t>
        </m:r>
        <m:r>
          <m:t>77</m:t>
        </m:r>
      </m:oMath>
      <w:r>
        <w:t xml:space="preserve">,</w:t>
      </w:r>
      <w:r>
        <w:t xml:space="preserve"> </w:t>
      </w:r>
      <m:oMath>
        <m:r>
          <m:t>p</m:t>
        </m:r>
        <m:r>
          <m:rPr>
            <m:sty m:val="p"/>
          </m:rPr>
          <m:t>&lt;</m:t>
        </m:r>
        <m:r>
          <m:rPr>
            <m:sty m:val="p"/>
          </m:rPr>
          <m:t>,</m:t>
        </m:r>
        <m:r>
          <m:t>001</m:t>
        </m:r>
      </m:oMath>
      <w:r>
        <w:t xml:space="preserve">) và phân tích dữ liệu sơ cấp toàn mẫu (P7,</w:t>
      </w:r>
      <w:r>
        <w:t xml:space="preserve"> </w:t>
      </w:r>
      <m:oMath>
        <m:r>
          <m:t>N</m:t>
        </m:r>
        <m:r>
          <m:rPr>
            <m:sty m:val="p"/>
          </m:rPr>
          <m:t>=</m:t>
        </m:r>
        <m:r>
          <m:t>84.910</m:t>
        </m:r>
      </m:oMath>
      <w:r>
        <w:t xml:space="preserve"> </w:t>
      </w:r>
      <w:r>
        <w:t xml:space="preserve">từ 49 nền kinh tế) — đều chỉ đến cùng một kết luận: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 tức là nền kinh tế thể chế mạnh hơn đạt đỉnh hiệu quả tại mức FSTS thấp hơn.</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47 nền kinh tế châu Á và Thái Bình Dương.</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50"/>
    <w:bookmarkStart w:id="51"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tại tất cả các mẫu (Việt Nam P3, Trung Quốc P5, toàn mẫu P7: ~41% tăng năng suất/đơn vị SD). TCI chỉ</w:t>
      </w:r>
      <w:r>
        <w:t xml:space="preserve"> </w:t>
      </w:r>
      <w:r>
        <w:rPr>
          <w:bCs/>
          <w:b/>
        </w:rPr>
        <w:t xml:space="preserve">điều tiết hình dạng đường cong I→P</w:t>
      </w:r>
      <w:r>
        <w:t xml:space="preserve"> </w:t>
      </w:r>
      <w:r>
        <w:t xml:space="preserve">tại bối cảnh quốc gia cụ thể (P3 Việt Nam); ở toàn mẫu P7 (49 nền kinh tế đa dạng thể chế), tương tác FSTS×TCI không có ý nghĩa. H2 được</w:t>
      </w:r>
      <w:r>
        <w:t xml:space="preserve"> </w:t>
      </w:r>
      <w:r>
        <w:rPr>
          <w:bCs/>
          <w:b/>
        </w:rPr>
        <w:t xml:space="preserve">xác nhận một phần</w:t>
      </w:r>
      <w:r>
        <w:t xml:space="preserve">,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tiếp cận công nghệ nước ngoài, chi tiêu R&amp;D, đổi mới sản phẩm và chứng nhận chất lượng — tạo ra giá trị cao hơn từ cùng một mức độ quốc tế hóa, nhưng vai trò uốn đường cong là context-contingent.</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51"/>
    <w:bookmarkStart w:id="52"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DAI có hiệu ứng nâng mặt bằng dương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và cả hai tương tác điều tiết đường cong đều có ý nghĩa (FSTS×DAI</w:t>
      </w:r>
      <w:r>
        <w:t xml:space="preserve"> </w:t>
      </w:r>
      <m:oMath>
        <m:r>
          <m:t>p</m:t>
        </m:r>
        <m:r>
          <m:rPr>
            <m:sty m:val="p"/>
          </m:rPr>
          <m:t>&lt;</m:t>
        </m:r>
        <m:r>
          <m:rPr>
            <m:sty m:val="p"/>
          </m:rPr>
          <m:t>,</m:t>
        </m:r>
        <m:r>
          <m:t>001</m:t>
        </m:r>
      </m:oMath>
      <w:r>
        <w:t xml:space="preserve">; FSTS²×DAI</w:t>
      </w:r>
      <w:r>
        <w:t xml:space="preserve"> </w:t>
      </w:r>
      <m:oMath>
        <m:r>
          <m:t>p</m:t>
        </m:r>
        <m:r>
          <m:rPr>
            <m:sty m:val="p"/>
          </m:rPr>
          <m:t>&lt;</m:t>
        </m:r>
        <m:r>
          <m:rPr>
            <m:sty m:val="p"/>
          </m:rPr>
          <m:t>,</m:t>
        </m:r>
        <m:r>
          <m:t>01</m:t>
        </m:r>
      </m:oMath>
      <w:r>
        <w:t xml:space="preserve">). Tương tác DAI×ICRV (</w:t>
      </w:r>
      <m:oMath>
        <m:r>
          <m:t>p</m:t>
        </m:r>
        <m:r>
          <m:rPr>
            <m:sty m:val="p"/>
          </m:rPr>
          <m:t>=</m:t>
        </m:r>
        <m:r>
          <m:rPr>
            <m:sty m:val="p"/>
          </m:rPr>
          <m:t>,</m:t>
        </m:r>
        <m:r>
          <m:t>012</m:t>
        </m:r>
      </m:oMath>
      <w:r>
        <w:t xml:space="preserve">) xác nhận DAI mạnh hơn tại bối cảnh thể chế yếu hơn — ngụ ý DAI bù đắp cho thiếu hụt thể chế hơn là khuếch đại lợi thế thể chế đã có. Tại Singapore (P4, DAI Tier-1+2), DAI phát huy rõ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 Tại Việt Nam (P3, Tier-1 only, IV-estimated), DAI null phản ánh hạn chế đo lường và selection bias hơn là bác bỏ H3.</w:t>
      </w:r>
    </w:p>
    <w:p>
      <w:pPr>
        <w:pStyle w:val="BodyText"/>
      </w:pPr>
      <w:r>
        <w:t xml:space="preserve">Kết quả này hỗ trợ lập luận trong khung CDCM rằng DAI là</w:t>
      </w:r>
      <w:r>
        <w:t xml:space="preserve"> </w:t>
      </w:r>
      <w:r>
        <w:rPr>
          <w:bCs/>
          <w:b/>
        </w:rPr>
        <w:t xml:space="preserve">nguồn lực tình huống</w:t>
      </w:r>
      <w:r>
        <w:t xml:space="preserve"> </w:t>
      </w:r>
      <w:r>
        <w:t xml:space="preserve">(situational resource): bản thân hiệu ứng nâng mặt bằng là phổ quát, nhưng</w:t>
      </w:r>
      <w:r>
        <w:t xml:space="preserve"> </w:t>
      </w:r>
      <w:r>
        <w:rPr>
          <w:bCs/>
          <w:b/>
        </w:rPr>
        <w:t xml:space="preserve">cơ chế và độ lớn</w:t>
      </w:r>
      <w:r>
        <w:t xml:space="preserve"> </w:t>
      </w:r>
      <w:r>
        <w:t xml:space="preserve">của việc điều tiết đường cong I→P phụ thuộc bối cảnh ICRV. DAI×ICRV (</w:t>
      </w:r>
      <m:oMath>
        <m:r>
          <m:t>p</m:t>
        </m:r>
        <m:r>
          <m:rPr>
            <m:sty m:val="p"/>
          </m:rPr>
          <m:t>=</m:t>
        </m:r>
        <m:r>
          <m:rPr>
            <m:sty m:val="p"/>
          </m:rPr>
          <m:t>,</m:t>
        </m:r>
        <m:r>
          <m:t>012</m:t>
        </m:r>
      </m:oMath>
      <w:r>
        <w:t xml:space="preserve">) cho thấy DAI mạnh hơn tại thể chế yếu — "digital shield" bù đắp cho thiếu hụt thể chế, ngược với quan niệm truyền thống rằng DAI chỉ khuếch đại lợi thế đã có. Đây là điểm phân biệt quan trọng giữa TCI (foundational capability phổ quát) và DAI (situational resource với cơ chế phụ thuộc bối cảnh) trong đóng góp lý thuyết của luận án.</w:t>
      </w:r>
    </w:p>
    <w:p>
      <w:pPr>
        <w:pStyle w:val="BodyText"/>
      </w:pPr>
      <w:r>
        <w:t xml:space="preserve">Kết quả null về DAI tại Việt Nam (P3) phản ánh hạn chế đo lường (Tier-1 only, selection bias trong IV estimate) hơn là bác bỏ H3. Khi DAI được đo bằng Tier-1+2 như tại Singapore, hiệu ứng điều tiết xuất hiện rõ ràng hơn. Tất cả đo lường DAI trong luận án là</w:t>
      </w:r>
      <w:r>
        <w:t xml:space="preserve"> </w:t>
      </w:r>
      <w:r>
        <w:rPr>
          <w:bCs/>
          <w:b/>
        </w:rPr>
        <w:t xml:space="preserve">chỉ số chấp nhận số tĩnh</w:t>
      </w:r>
      <w:r>
        <w:t xml:space="preserve"> </w:t>
      </w:r>
      <w:r>
        <w:t xml:space="preserve">— không phải "dynamic digital capability" vì dữ liệu WBES không có đủ thang đo để đo lường tính động.</w:t>
      </w:r>
    </w:p>
    <w:bookmarkEnd w:id="52"/>
    <w:bookmarkStart w:id="53" w:name="Xcb7f2ad84aa9055072bb14b3529192ba58d8037"/>
    <w:p>
      <w:pPr>
        <w:pStyle w:val="Heading3"/>
      </w:pPr>
      <w:r>
        <w:t xml:space="preserve">5.1.4 FIP là Điều Kiện Biên Cực Đoan — H1b cho SIDS</w:t>
      </w:r>
    </w:p>
    <w:p>
      <w:pPr>
        <w:pStyle w:val="FirstParagraph"/>
      </w:pPr>
      <w:r>
        <w:t xml:space="preserve">Forced Internationalization Penalty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53"/>
    <w:bookmarkEnd w:id="54"/>
    <w:bookmarkStart w:id="58" w:name="X03371f9bf2ea7aa70b56c3fc263517b182b20aa"/>
    <w:p>
      <w:pPr>
        <w:pStyle w:val="Heading2"/>
      </w:pPr>
      <w:r>
        <w:t xml:space="preserve">5.2 So sánh với nghiên cứu trước đây</w:t>
      </w:r>
    </w:p>
    <w:bookmarkStart w:id="55"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075</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(Đỗ &amp; Phan, 2024).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5</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55"/>
    <w:bookmarkStart w:id="56"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 nền kinh tế châu Á và Thái Bình Dương — bối cảnh underrepresented trong literature Lu và Beamish.</w:t>
      </w:r>
    </w:p>
    <w:bookmarkEnd w:id="56"/>
    <w:bookmarkStart w:id="57"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57"/>
    <w:bookmarkEnd w:id="58"/>
    <w:bookmarkStart w:id="62" w:name="X358b70cb0587073926db05a46d0ec729e84bb90"/>
    <w:p>
      <w:pPr>
        <w:pStyle w:val="Heading2"/>
      </w:pPr>
      <w:r>
        <w:t xml:space="preserve">5.3 Đóng góp lý thuyết</w:t>
      </w:r>
    </w:p>
    <w:bookmarkStart w:id="59" w:name="X29f632bb883bf22d2c2cdeac758fdcc4dae2054"/>
    <w:p>
      <w:pPr>
        <w:pStyle w:val="Heading3"/>
      </w:pPr>
      <w:r>
        <w:t xml:space="preserve">5.3.1 CDCM — Mở rộng khung lý thuyết về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Đặc biệt, DAI×ICRV (p=.012) cho thấy hiệu ứng điều tiết của DAI</w:t>
      </w:r>
      <w:r>
        <w:t xml:space="preserve"> </w:t>
      </w:r>
      <w:r>
        <w:rPr>
          <w:bCs/>
          <w:b/>
        </w:rPr>
        <w:t xml:space="preserve">mạnh hơn</w:t>
      </w:r>
      <w:r>
        <w:t xml:space="preserve"> </w:t>
      </w:r>
      <w:r>
        <w:t xml:space="preserve">tại các nền kinh tế thể chế yếu hơn (Frontier, SIDS), không phải tại Advanced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p>
      <w:pPr>
        <w:pStyle w:val="BodyText"/>
      </w:pPr>
      <w:r>
        <w:t xml:space="preserve">Cần lưu ý thêm một hạn chế quan trọng: trong toàn bộ luận án, DAI được đo lường dựa trên dữ liệu WBES, vốn có quy mô đo lường hạn chế (không đủ để tạo thang đo "dynamic"). Do đó, DAI trong luận án được hiểu là</w:t>
      </w:r>
      <w:r>
        <w:t xml:space="preserve"> </w:t>
      </w:r>
      <w:r>
        <w:rPr>
          <w:bCs/>
          <w:b/>
        </w:rPr>
        <w:t xml:space="preserve">static digital adoption index</w:t>
      </w:r>
      <w:r>
        <w:t xml:space="preserve"> </w:t>
      </w:r>
      <w:r>
        <w:t xml:space="preserve">— mức độ chấp nhận số tại một thời điểm — chứ không phải là "dynamic digital capability" theo nghĩa của dynamic capabilities theory (Teece et al., 1997). Đây là giới hạn về độ trung thực khái niệm mà các nghiên cứu tương lai cần khắc phục.</w:t>
      </w:r>
    </w:p>
    <w:bookmarkEnd w:id="59"/>
    <w:bookmarkStart w:id="60"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60"/>
    <w:bookmarkStart w:id="61"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61"/>
    <w:bookmarkEnd w:id="62"/>
    <w:bookmarkStart w:id="66" w:name="X7f421bdff8617930b20eb51cd2d551d777f85e9"/>
    <w:p>
      <w:pPr>
        <w:pStyle w:val="Heading2"/>
      </w:pPr>
      <w:r>
        <w:t xml:space="preserve">5.4 Hàm ý chính sách và quản trị</w:t>
      </w:r>
    </w:p>
    <w:bookmarkStart w:id="63" w:name="X9a1ed066b09cdcf5fe6c1375fffc11bc87ba428"/>
    <w:p>
      <w:pPr>
        <w:pStyle w:val="Heading3"/>
      </w:pPr>
      <w:r>
        <w:t xml:space="preserve">5.4.1 Hàm ý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63"/>
    <w:bookmarkStart w:id="64" w:name="X3f8d9a323ba27def2403a7e7f4c133f4419909e"/>
    <w:p>
      <w:pPr>
        <w:pStyle w:val="Heading3"/>
      </w:pPr>
      <w:r>
        <w:t xml:space="preserve">5.4.2 Hàm ý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5"/>
        </w:numPr>
      </w:pPr>
      <w:r>
        <w:rPr>
          <w:bCs/>
          <w:b/>
        </w:rPr>
        <w:t xml:space="preserve">Doanh nghiệp Singapore (Nhóm I)</w:t>
      </w:r>
      <w:r>
        <w:t xml:space="preserve">: turning point TP ≈ 88,6% cho thấy không gian quốc tế hóa rất rộng. Chiến lược mở rộng quốc tế mạnh mẽ (high-commitment internationalization) phù hợp với bối cảnh này, đặc biệt khi kết hợp với DAI cao.</w:t>
      </w:r>
    </w:p>
    <w:p>
      <w:pPr>
        <w:numPr>
          <w:ilvl w:val="0"/>
          <w:numId w:val="1005"/>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5"/>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5"/>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64"/>
    <w:bookmarkStart w:id="65" w:name="X61b8a223e6da69b21ec881e9692972717b30064"/>
    <w:p>
      <w:pPr>
        <w:pStyle w:val="Heading3"/>
      </w:pPr>
      <w:r>
        <w:t xml:space="preserve">5.4.3 Hàm ý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p>
      <w:r>
        <w:pict>
          <v:rect style="width:0;height:1.5pt" o:hralign="center" o:hrstd="t" o:hr="t"/>
        </w:pict>
      </w:r>
    </w:p>
    <w:bookmarkEnd w:id="65"/>
    <w:bookmarkEnd w:id="66"/>
    <w:bookmarkStart w:id="71" w:name="Xf80a1234b44a7d4089382a2631c25010c604edb"/>
    <w:p>
      <w:pPr>
        <w:pStyle w:val="Heading2"/>
      </w:pPr>
      <w:r>
        <w:t xml:space="preserve">5.5 Hạn chế và hướng nghiên cứu tương lai</w:t>
      </w:r>
    </w:p>
    <w:bookmarkStart w:id="67"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67"/>
    <w:bookmarkStart w:id="68"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68"/>
    <w:bookmarkStart w:id="69"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69"/>
    <w:bookmarkStart w:id="70"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70"/>
    <w:bookmarkEnd w:id="71"/>
    <w:bookmarkStart w:id="76" w:name="X4996a41f63b55247ad67839d7d35b5e27cb34b2"/>
    <w:p>
      <w:pPr>
        <w:pStyle w:val="Heading2"/>
      </w:pPr>
      <w:r>
        <w:t xml:space="preserve">5.6 Kết luận chương và luận án</w:t>
      </w:r>
    </w:p>
    <w:bookmarkStart w:id="72"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6"/>
        </w:numPr>
      </w:pPr>
      <w:r>
        <w:rPr>
          <w:bCs/>
          <w:b/>
        </w:rPr>
        <w:t xml:space="preserve">P1 và P2</w:t>
      </w:r>
      <w:r>
        <w:t xml:space="preserve"> </w:t>
      </w:r>
      <w:r>
        <w:t xml:space="preserve">(đã công bố — ICBEF 2024, Đỗ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6"/>
        </w:numPr>
      </w:pPr>
      <w:r>
        <w:rPr>
          <w:bCs/>
          <w:b/>
        </w:rPr>
        <w:t xml:space="preserve">P3</w:t>
      </w:r>
      <w:r>
        <w:t xml:space="preserve"> </w:t>
      </w:r>
      <w:r>
        <w:t xml:space="preserve">(JABS under review, Đỗ &amp; Phan, 2026): phân tích Việt Nam (Lower-mid Transition), xác nhận inverted-U với TP = 39,3–46,2%, TCI là moderator dương có ý nghĩa.</w:t>
      </w:r>
    </w:p>
    <w:p>
      <w:pPr>
        <w:numPr>
          <w:ilvl w:val="0"/>
          <w:numId w:val="1006"/>
        </w:numPr>
      </w:pPr>
      <w:r>
        <w:rPr>
          <w:bCs/>
          <w:b/>
        </w:rPr>
        <w:t xml:space="preserve">P4</w:t>
      </w:r>
      <w:r>
        <w:t xml:space="preserve"> </w:t>
      </w:r>
      <w:r>
        <w:t xml:space="preserve">(MIR under review, Đỗ &amp; Phan, 2026): phân tích Singapore (Advanced Innovation), xác nhận inverted-U với TP ≈ 88,6% (rộng CI), DAI khuếch đại tại mức FSTS cao.</w:t>
      </w:r>
    </w:p>
    <w:p>
      <w:pPr>
        <w:numPr>
          <w:ilvl w:val="0"/>
          <w:numId w:val="1006"/>
        </w:numPr>
      </w:pPr>
      <w:r>
        <w:rPr>
          <w:bCs/>
          <w:b/>
        </w:rPr>
        <w:t xml:space="preserve">P5</w:t>
      </w:r>
      <w:r>
        <w:t xml:space="preserve"> </w:t>
      </w:r>
      <w:r>
        <w:t xml:space="preserve">(IJOEM under review,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6"/>
        </w:numPr>
      </w:pPr>
      <w:r>
        <w:rPr>
          <w:bCs/>
          <w:b/>
        </w:rPr>
        <w:t xml:space="preserve">P6</w:t>
      </w:r>
      <w:r>
        <w:t xml:space="preserve"> </w:t>
      </w:r>
      <w:r>
        <w:t xml:space="preserve">(IBR under review, Đỗ &amp; Phan, 2026):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075</m:t>
        </m:r>
      </m:oMath>
      <w:r>
        <w:t xml:space="preserve">,</w:t>
      </w:r>
      <w:r>
        <w:t xml:space="preserve"> </w:t>
      </w:r>
      <m:oMath>
        <m:sSup>
          <m:e>
            <m:r>
              <m:t>I</m:t>
            </m:r>
          </m:e>
          <m:sup>
            <m:r>
              <m:t>2</m:t>
            </m:r>
          </m:sup>
        </m:sSup>
        <m:r>
          <m:rPr>
            <m:sty m:val="p"/>
          </m:rPr>
          <m:t>=</m:t>
        </m:r>
        <m:r>
          <m:t>62</m:t>
        </m:r>
        <m:r>
          <m:rPr>
            <m:sty m:val="p"/>
          </m:rPr>
          <m:t>,</m:t>
        </m:r>
        <m:r>
          <m:t>5</m:t>
        </m:r>
        <m:r>
          <m:rPr>
            <m:sty m:val="p"/>
          </m:rPr>
          <m:t>%</m:t>
        </m:r>
      </m:oMath>
      <w:r>
        <w:t xml:space="preserve"> </w:t>
      </w:r>
      <w:r>
        <w:t xml:space="preserve">(54,1% tầng 2 + 8,4% tầng 3), ICRV moderation</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w:t>
      </w:r>
    </w:p>
    <w:p>
      <w:pPr>
        <w:numPr>
          <w:ilvl w:val="0"/>
          <w:numId w:val="1006"/>
        </w:numPr>
      </w:pPr>
      <w:r>
        <w:rPr>
          <w:bCs/>
          <w:b/>
        </w:rPr>
        <w:t xml:space="preserve">P7</w:t>
      </w:r>
      <w:r>
        <w:t xml:space="preserve"> </w:t>
      </w:r>
      <w:r>
        <w:t xml:space="preserve">(JIBS under revision, Đỗ &amp; Phan, 2026): kiểm định toàn mẫu châu Á và Thái Bình Dương</w:t>
      </w:r>
      <w:r>
        <w:t xml:space="preserve"> </w:t>
      </w:r>
      <m:oMath>
        <m:r>
          <m:t>N</m:t>
        </m:r>
        <m:r>
          <m:rPr>
            <m:sty m:val="p"/>
          </m:rPr>
          <m:t>=</m:t>
        </m:r>
        <m:r>
          <m:t>84.910</m:t>
        </m:r>
      </m:oMath>
      <w:r>
        <w:t xml:space="preserve"> </w:t>
      </w:r>
      <w:r>
        <w:t xml:space="preserve">(M2) /</w:t>
      </w:r>
      <w:r>
        <w:t xml:space="preserve"> </w:t>
      </w:r>
      <m:oMath>
        <m:r>
          <m:t>38.342</m:t>
        </m:r>
      </m:oMath>
      <w:r>
        <w:t xml:space="preserve"> </w:t>
      </w:r>
      <w:r>
        <w:t xml:space="preserve">(M3–M5 với controls), TP = 36,4–40,0%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(Advanced ~28% &lt; Frontier/SIDS ~55%), TCI nâng mặt bằng phổ quát (+41%/SD), DAI điều tiết đường cong có ý nghĩa toàn mẫu và mạnh hơn tại thể chế yếu (DAI×ICRV</w:t>
      </w:r>
      <w:r>
        <w:t xml:space="preserve"> </w:t>
      </w:r>
      <m:oMath>
        <m:r>
          <m:t>p</m:t>
        </m:r>
        <m:r>
          <m:rPr>
            <m:sty m:val="p"/>
          </m:rPr>
          <m:t>=</m:t>
        </m:r>
        <m:r>
          <m:rPr>
            <m:sty m:val="p"/>
          </m:rPr>
          <m:t>,</m:t>
        </m:r>
        <m:r>
          <m:t>012</m:t>
        </m:r>
      </m:oMath>
      <w:r>
        <w:t xml:space="preserve">).</w:t>
      </w:r>
    </w:p>
    <w:p>
      <w:pPr>
        <w:numPr>
          <w:ilvl w:val="0"/>
          <w:numId w:val="1006"/>
        </w:numPr>
      </w:pPr>
      <w:r>
        <w:rPr>
          <w:bCs/>
          <w:b/>
        </w:rPr>
        <w:t xml:space="preserve">P8</w:t>
      </w:r>
      <w:r>
        <w:t xml:space="preserve"> </w:t>
      </w:r>
      <w:r>
        <w:t xml:space="preserve">(World Development under revision,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72"/>
    <w:bookmarkStart w:id="73"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238 nghiên cứu (P6)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w:t>
      </w:r>
      <w:r>
        <w:t xml:space="preserve"> </w:t>
      </w:r>
      <w:r>
        <w:rPr>
          <w:bCs/>
          <w:b/>
        </w:rPr>
        <w:t xml:space="preserve">giảm dần</w:t>
      </w:r>
      <w:r>
        <w:t xml:space="preserve"> </w:t>
      </w:r>
      <w:r>
        <w:t xml:space="preserve">của chất lượng thể chế theo ICRV — thể chế mạnh hơn → turning point thấp hơn (FSTS thấp hơn để đạt đỉnh hiệu quả).</w:t>
      </w:r>
    </w:p>
    <w:bookmarkEnd w:id="73"/>
    <w:bookmarkStart w:id="74"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74"/>
    <w:bookmarkStart w:id="75"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75"/>
    <w:bookmarkEnd w:id="76"/>
    <w:bookmarkStart w:id="77" w:name="X9c0fa5a95aa65503927cbe8b57752b2cbfc3017"/>
    <w:p>
      <w:pPr>
        <w:pStyle w:val="Heading2"/>
      </w:pPr>
      <w:r>
        <w:t xml:space="preserve">Tài liệu tham khảo (trích dẫn trong Chương 4 và 5)</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Journal of Cleaner Production</w:t>
      </w:r>
      <w:r>
        <w:t xml:space="preserve">, 415, 137843.</w:t>
      </w:r>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 50(8), 1372–1387.</w:t>
      </w:r>
    </w:p>
    <w:p>
      <w:pPr>
        <w:pStyle w:val="BodyText"/>
      </w:pPr>
      <w:r>
        <w:t xml:space="preserve">Borenstein, M., Hedges, L. V., Higgins, J. P. T., &amp; Rothstein, H. R. (2009).</w:t>
      </w:r>
      <w:r>
        <w:t xml:space="preserve"> </w:t>
      </w:r>
      <w:r>
        <w:rPr>
          <w:iCs/>
          <w:i/>
        </w:rPr>
        <w:t xml:space="preserve">Introduction to meta-analysis</w:t>
      </w:r>
      <w:r>
        <w:t xml:space="preserve">. John Wiley &amp; Sons.</w:t>
      </w:r>
    </w:p>
    <w:p>
      <w:pPr>
        <w:pStyle w:val="BodyText"/>
      </w:pPr>
      <w:r>
        <w:t xml:space="preserve">Bustamante, C. V., Moreno-Menéndez, A. M., &amp; Eusse, M. T. (2022). Digital capabilities and international growth of family SMEs.</w:t>
      </w:r>
      <w:r>
        <w:t xml:space="preserve"> </w:t>
      </w:r>
      <w:r>
        <w:rPr>
          <w:iCs/>
          <w:i/>
        </w:rPr>
        <w:t xml:space="preserve">International Business Review</w:t>
      </w:r>
      <w:r>
        <w:t xml:space="preserve">, 31(4), 101985.</w:t>
      </w:r>
    </w:p>
    <w:p>
      <w:pPr>
        <w:pStyle w:val="BodyText"/>
      </w:pPr>
      <w:r>
        <w:t xml:space="preserve">Chen, L., &amp; Meng, B. (2022). How digital finance affects manufacturing firms' outward FDI: Evidence from China.</w:t>
      </w:r>
      <w:r>
        <w:t xml:space="preserve"> </w:t>
      </w:r>
      <w:r>
        <w:rPr>
          <w:iCs/>
          <w:i/>
        </w:rPr>
        <w:t xml:space="preserve">Journal of International Money and Finance</w:t>
      </w:r>
      <w:r>
        <w:t xml:space="preserve">, 121, 102491.</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 34(1), 5–18.</w:t>
      </w:r>
    </w:p>
    <w:p>
      <w:pPr>
        <w:pStyle w:val="BodyText"/>
      </w:pPr>
      <w:r>
        <w:t xml:space="preserve">Cuervo-Cazurra, A., Luo, Y., Ramamurti, R., &amp; Ang, S. H. (2018). The impact of the home country on internationalization.</w:t>
      </w:r>
      <w:r>
        <w:t xml:space="preserve"> </w:t>
      </w:r>
      <w:r>
        <w:rPr>
          <w:iCs/>
          <w:i/>
        </w:rPr>
        <w:t xml:space="preserve">Journal of World Business</w:t>
      </w:r>
      <w:r>
        <w:t xml:space="preserve">, 53(5), 593–604.</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Hambrick, D. C. (2007). Upper echelons theory: An update.</w:t>
      </w:r>
      <w:r>
        <w:t xml:space="preserve"> </w:t>
      </w:r>
      <w:r>
        <w:rPr>
          <w:iCs/>
          <w:i/>
        </w:rPr>
        <w:t xml:space="preserve">Academy of Management Review</w:t>
      </w:r>
      <w:r>
        <w:t xml:space="preserve">, 32(2), 334–343.</w:t>
      </w:r>
    </w:p>
    <w:p>
      <w:pPr>
        <w:pStyle w:val="BodyText"/>
      </w:pPr>
      <w:r>
        <w:t xml:space="preserve">Hambrick, D. C., &amp; Mason, P. A. (1984). Upper echelons: The organization as a reflection of its top managers.</w:t>
      </w:r>
      <w:r>
        <w:t xml:space="preserve"> </w:t>
      </w:r>
      <w:r>
        <w:rPr>
          <w:iCs/>
          <w:i/>
        </w:rPr>
        <w:t xml:space="preserve">Academy of Management Review</w:t>
      </w:r>
      <w:r>
        <w:t xml:space="preserve">, 9(2), 193–206.</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 40(4), 767–798.</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w:t>
      </w:r>
      <w:r>
        <w:t xml:space="preserve">, 40(9), 1411–1431.</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&amp; Moher, D. (2021). The PRISMA 2020 statement: An updated guideline for reporting systematic reviews.</w:t>
      </w:r>
      <w:r>
        <w:t xml:space="preserve"> </w:t>
      </w:r>
      <w:r>
        <w:rPr>
          <w:iCs/>
          <w:i/>
        </w:rPr>
        <w:t xml:space="preserve">BMJ</w:t>
      </w:r>
      <w:r>
        <w:t xml:space="preserve">, 372, n71.</w:t>
      </w:r>
    </w:p>
    <w:p>
      <w:pPr>
        <w:pStyle w:val="BodyText"/>
      </w:pPr>
      <w:r>
        <w:t xml:space="preserve">Peng, M. W. (2003). Institutional transitions and strategic choices.</w:t>
      </w:r>
      <w:r>
        <w:t xml:space="preserve"> </w:t>
      </w:r>
      <w:r>
        <w:rPr>
          <w:iCs/>
          <w:i/>
        </w:rPr>
        <w:t xml:space="preserve">Academy of Management Review</w:t>
      </w:r>
      <w:r>
        <w:t xml:space="preserve">, 28(2), 275–296.</w:t>
      </w:r>
    </w:p>
    <w:p>
      <w:pPr>
        <w:pStyle w:val="BodyText"/>
      </w:pPr>
      <w:r>
        <w:t xml:space="preserve">Post, C., &amp; Byron, K. (2015). Women on boards and firm financial performance: A meta-analysis.</w:t>
      </w:r>
      <w:r>
        <w:t xml:space="preserve"> </w:t>
      </w:r>
      <w:r>
        <w:rPr>
          <w:iCs/>
          <w:i/>
        </w:rPr>
        <w:t xml:space="preserve">Academy of Management Journal</w:t>
      </w:r>
      <w:r>
        <w:t xml:space="preserve">, 58(5), 1546–1571.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Sullivan, D. (1994). Measuring the degree of internationalization of a firm.</w:t>
      </w:r>
      <w:r>
        <w:t xml:space="preserve"> </w:t>
      </w:r>
      <w:r>
        <w:rPr>
          <w:iCs/>
          <w:i/>
        </w:rPr>
        <w:t xml:space="preserve">Journal of International Business Studies</w:t>
      </w:r>
      <w:r>
        <w:t xml:space="preserve">, 25(2), 325–342.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15(6), 285–305.</w:t>
      </w:r>
    </w:p>
    <w:p>
      <w:pPr>
        <w:pStyle w:val="BodyText"/>
      </w:pPr>
      <w:r>
        <w:t xml:space="preserve">Teece, D. J., Pisano, G., &amp; Shuen, A. (1997). Dynamic capabilities and strategic management.</w:t>
      </w:r>
      <w:r>
        <w:t xml:space="preserve"> </w:t>
      </w:r>
      <w:r>
        <w:rPr>
          <w:iCs/>
          <w:i/>
        </w:rPr>
        <w:t xml:space="preserve">Strategic Management Journal</w:t>
      </w:r>
      <w:r>
        <w:t xml:space="preserve">, 18(7), 509–533.</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pPr>
        <w:pStyle w:val="BodyText"/>
      </w:pPr>
      <w:r>
        <w:t xml:space="preserve">Yang, Y., Chen, C., &amp; Yang, H. (2025). Internationalization of digital firms: Systematic review and future research agenda.</w:t>
      </w:r>
      <w:r>
        <w:t xml:space="preserve"> </w:t>
      </w:r>
      <w:r>
        <w:rPr>
          <w:iCs/>
          <w:i/>
        </w:rPr>
        <w:t xml:space="preserve">Journal of International Business Studies</w:t>
      </w:r>
      <w:r>
        <w:t xml:space="preserve">, 56(2), 301–327.</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p>
      <w:pPr>
        <w:pStyle w:val="FirstParagraph"/>
      </w:pPr>
      <w:r>
        <w:rPr>
          <w:iCs/>
          <w:i/>
        </w:rPr>
        <w:t xml:space="preserve">Ghi chú về trích dẫn: Các nghiên cứu P3–P8 được trích dẫn trong luận án dưới dạng "Đỗ &amp; Phan, 2026, bản thảo đang chuẩn bị" theo quy định về trích dẫn tài liệu chưa công bố của Trường Kinh tế, Đại học Cần Thơ. Các nghiên cứu P1 và P2 được trích dẫn theo thông tin công bố chính thức (Đỗ &amp; Phan, 2024, ICBEF).</w:t>
      </w:r>
    </w:p>
    <w:bookmarkEnd w:id="77"/>
    <w:bookmarkEnd w:id="7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2026-05-16T10:01:28Z</dcterms:created>
  <dcterms:modified xsi:type="dcterms:W3CDTF">2026-05-16T10:01:28Z</dcterms:modified>
</cp:coreProperties>
</file>

<file path=docProps/custom.xml><?xml version="1.0" encoding="utf-8"?>
<Properties xmlns="http://schemas.openxmlformats.org/officeDocument/2006/custom-properties" xmlns:vt="http://schemas.openxmlformats.org/officeDocument/2006/docPropsVTypes"/>
</file>