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chương-5-kết-luận-và-đề-xuất"/>
    <w:p>
      <w:pPr>
        <w:pStyle w:val="Heading1"/>
      </w:pPr>
      <w:r>
        <w:t xml:space="preserve">CHƯƠNG 5: KẾT LUẬN VÀ ĐỀ XUẤT</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0"/>
    <w:bookmarkStart w:id="26" w:name="Xa49aadb40c127a83ebe1d91ac222e3bdb8617c2"/>
    <w:p>
      <w:pPr>
        <w:pStyle w:val="Heading2"/>
      </w:pPr>
      <w:r>
        <w:t xml:space="preserve">5.1 Bàn luận kết quả theo khung lý thuyết CDCM</w:t>
      </w:r>
    </w:p>
    <w:bookmarkStart w:id="2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127</m:t>
        </m:r>
        <m:r>
          <m:rPr>
            <m:sty m:val="p"/>
          </m:rPr>
          <m:t>,</m:t>
        </m:r>
        <m:r>
          <m:t>77</m:t>
        </m:r>
      </m:oMath>
      <w:r>
        <w:t xml:space="preserve">,</w:t>
      </w:r>
      <w:r>
        <w:t xml:space="preserve"> </w:t>
      </w:r>
      <m:oMath>
        <m:r>
          <m:t>p</m:t>
        </m:r>
        <m:r>
          <m:rPr>
            <m:sty m:val="p"/>
          </m:rPr>
          <m:t>&lt;</m:t>
        </m:r>
        <m:r>
          <m:rPr>
            <m:sty m:val="p"/>
          </m:rPr>
          <m:t>,</m:t>
        </m:r>
        <m:r>
          <m:t>001</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47 nền kinh tế châu Á và Thái Bình Dương.</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1"/>
    <w:bookmarkStart w:id="2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việc tiếp cận công nghệ nước ngoài, chi tiêu R&amp;D, đổi mới sản phẩm và chứng nhận chất lượng —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22"/>
    <w:bookmarkStart w:id="2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 không phải "dynamic digital capability" 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 "digital shield effect" phát huy mạnh nhất khi nền tảng thể chế còn thiếu hụt, không phải khi thể chế đã hoàn thiện.</w:t>
      </w:r>
    </w:p>
    <w:bookmarkEnd w:id="23"/>
    <w:bookmarkStart w:id="2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 một hạn chế đo lường trong WBES cần được khắc phục trong nghiên cứu tương lai.</w:t>
      </w:r>
    </w:p>
    <w:bookmarkEnd w:id="24"/>
    <w:bookmarkStart w:id="2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5"/>
    <w:bookmarkEnd w:id="26"/>
    <w:bookmarkStart w:id="30" w:name="X03371f9bf2ea7aa70b56c3fc263517b182b20aa"/>
    <w:p>
      <w:pPr>
        <w:pStyle w:val="Heading2"/>
      </w:pPr>
      <w:r>
        <w:t xml:space="preserve">5.2 So sánh với nghiên cứu trước đây</w:t>
      </w:r>
    </w:p>
    <w:bookmarkStart w:id="2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075</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5</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27"/>
    <w:bookmarkStart w:id="2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 nền kinh tế châu Á và Thái Bình Dương — bối cảnh underrepresented trong literature Lu và Beamish.</w:t>
      </w:r>
    </w:p>
    <w:bookmarkEnd w:id="28"/>
    <w:bookmarkStart w:id="2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29"/>
    <w:bookmarkEnd w:id="30"/>
    <w:bookmarkStart w:id="34" w:name="X358b70cb0587073926db05a46d0ec729e84bb90"/>
    <w:p>
      <w:pPr>
        <w:pStyle w:val="Heading2"/>
      </w:pPr>
      <w:r>
        <w:t xml:space="preserve">5.3 Đóng góp lý thuyết</w:t>
      </w:r>
    </w:p>
    <w:bookmarkStart w:id="3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1"/>
    <w:bookmarkStart w:id="3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32"/>
    <w:bookmarkStart w:id="33"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33"/>
    <w:bookmarkEnd w:id="34"/>
    <w:bookmarkStart w:id="38" w:name="X4f070f4201e8508645625eda6493d60cd486f27"/>
    <w:p>
      <w:pPr>
        <w:pStyle w:val="Heading2"/>
      </w:pPr>
      <w:r>
        <w:t xml:space="preserve">5.4 Đề xuất chính sách và quản trị</w:t>
      </w:r>
    </w:p>
    <w:bookmarkStart w:id="3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5"/>
    <w:bookmarkStart w:id="3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6"/>
    <w:bookmarkStart w:id="3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37"/>
    <w:bookmarkEnd w:id="38"/>
    <w:bookmarkStart w:id="43" w:name="Xf80a1234b44a7d4089382a2631c25010c604edb"/>
    <w:p>
      <w:pPr>
        <w:pStyle w:val="Heading2"/>
      </w:pPr>
      <w:r>
        <w:t xml:space="preserve">5.5 Hạn chế và hướng nghiên cứu tương lai</w:t>
      </w:r>
    </w:p>
    <w:bookmarkStart w:id="39"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39"/>
    <w:bookmarkStart w:id="40"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0"/>
    <w:bookmarkStart w:id="41"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1"/>
    <w:bookmarkStart w:id="42"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42"/>
    <w:bookmarkEnd w:id="43"/>
    <w:bookmarkStart w:id="48" w:name="X3298e6974611109580cc451c12e8b21e51ab986"/>
    <w:p>
      <w:pPr>
        <w:pStyle w:val="Heading2"/>
      </w:pPr>
      <w:r>
        <w:t xml:space="preserve">5.6 Kết luận</w:t>
      </w:r>
    </w:p>
    <w:bookmarkStart w:id="44"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(MIR under review, Đỗ &amp; Phan, 2026): phân tích Singapore (Advanced Innovation), xác nhận inverted-U với TP ≈ 88,6% (rộng CI), DAI khuếch đại tại mức FSTS cao.</w:t>
      </w:r>
    </w:p>
    <w:p>
      <w:pPr>
        <w:numPr>
          <w:ilvl w:val="0"/>
          <w:numId w:val="1002"/>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075</m:t>
        </m:r>
      </m:oMath>
      <w:r>
        <w:t xml:space="preserve">,</w:t>
      </w:r>
      <w:r>
        <w:t xml:space="preserve"> </w:t>
      </w:r>
      <m:oMath>
        <m:sSup>
          <m:e>
            <m:r>
              <m:t>I</m:t>
            </m:r>
          </m:e>
          <m:sup>
            <m:r>
              <m:t>2</m:t>
            </m:r>
          </m:sup>
        </m:sSup>
        <m:r>
          <m:rPr>
            <m:sty m:val="p"/>
          </m:rPr>
          <m:t>=</m:t>
        </m:r>
        <m:r>
          <m:t>62</m:t>
        </m:r>
        <m:r>
          <m:rPr>
            <m:sty m:val="p"/>
          </m:rPr>
          <m:t>,</m:t>
        </m:r>
        <m:r>
          <m:t>5</m:t>
        </m:r>
        <m:r>
          <m:rPr>
            <m:sty m:val="p"/>
          </m:rPr>
          <m:t>%</m:t>
        </m:r>
      </m:oMath>
      <w:r>
        <w:t xml:space="preserve"> </w:t>
      </w:r>
      <w:r>
        <w:t xml:space="preserve">(54,1% tầng 2 + 8,4% tầng 3), ICRV moderation</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w:t>
      </w:r>
    </w:p>
    <w:p>
      <w:pPr>
        <w:numPr>
          <w:ilvl w:val="0"/>
          <w:numId w:val="1002"/>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44"/>
    <w:bookmarkStart w:id="45"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 thể chế càng mạnh, turning point càng sớm (FSTS thấp hơn).</w:t>
      </w:r>
    </w:p>
    <w:bookmarkEnd w:id="45"/>
    <w:bookmarkStart w:id="46"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46"/>
    <w:bookmarkStart w:id="47"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47"/>
    <w:bookmarkEnd w:id="48"/>
    <w:bookmarkEnd w:id="4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2026-05-16T10:01:45Z</dcterms:created>
  <dcterms:modified xsi:type="dcterms:W3CDTF">2026-05-16T10:01:45Z</dcterms:modified>
</cp:coreProperties>
</file>

<file path=docProps/custom.xml><?xml version="1.0" encoding="utf-8"?>
<Properties xmlns="http://schemas.openxmlformats.org/officeDocument/2006/custom-properties" xmlns:vt="http://schemas.openxmlformats.org/officeDocument/2006/docPropsVTypes"/>
</file>