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237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237,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(H2, H3 not supported). The most substantive finding is publication bias (H4 confirmed):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237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237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237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studies from 49 economies, K = 287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1.34 (p = .513), H3 not supported. (3) DPL Phase (H2) — hypothesised Follow &gt; Precede; actual Q_M = 0.62 (p = .734), H2 not supported. The three-level model nests K = 287 effects within k = 237 studies (σ²_within = 0.00878, I²_(2) = 54.1%) within between-study heterogeneity (σ²_between = 0.00136, I²_(3) = 8.4%); total I² = 62.5%. Publication bias (H4 confirmed): Egger's b = 0.487 (p = .052), Begg's τ = −0.132 (p = .001); trim-and-fill imputes k = 57 studies, adjusted r = 0.035; fail-safe N = 44,782.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0.068) does not reach significance — a result that 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237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 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237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2026-05-17T07:57:45Z</dcterms:created>
  <dcterms:modified xsi:type="dcterms:W3CDTF">2026-05-17T07:57:45Z</dcterms:modified>
</cp:coreProperties>
</file>

<file path=docProps/custom.xml><?xml version="1.0" encoding="utf-8"?>
<Properties xmlns="http://schemas.openxmlformats.org/officeDocument/2006/custom-properties" xmlns:vt="http://schemas.openxmlformats.org/officeDocument/2006/docPropsVTypes"/>
</file>