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 as in Pacific Small Island Developing States (SIDS) —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1,469 firms across nine Pacific SIDS economies (2009–2025), we find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 both significant moderators in mainland Asian contexts — are null in the SIDS environment,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 characteristic of Small Island Developing States (SIDS) —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 poverty, life expectancy, schooling, gender equality, climate, and electricity —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 survival-based internationalization —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1,469 firms across nine Pacific SIDS economies using World Bank Enterprise Survey (WBES) data — the most comprehensive firm-level I-P analysis in Pacific SIDS to date. Third, we document that firm-level capabilities (technological capability, digital adoption) do not appear to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p>
      <w:r>
        <w:pict>
          <v:rect style="width:0;height:1.5pt" o:hralign="center" o:hrstd="t" o:hr="t"/>
        </w:pic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 typically estimated between 30% and 70% of foreign sales to total sales (FSTS) —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 too small to support minimum efficient scale for even basic operations —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 absent financial intermediaries, unreliable contract enforcement, limited trade facilitation infrastructure —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 the standard measure of internationalization intensity —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 enabling firms to achieve better performance at any given level of internationalization —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 observations with non-missing values for labor productivity, export intensity, and firm age — comprises</w:t>
      </w:r>
      <w:r>
        <w:t xml:space="preserve"> </w:t>
      </w:r>
      <w:r>
        <w:rPr>
          <w:bCs/>
          <w:b/>
        </w:rPr>
        <w:t xml:space="preserve">1,469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w:t>
      </w:r>
      <w:r>
        <w:t xml:space="preserve">— the first step of digital presence. It is appropriate for the SIDS context where advanced digital infrastructure is limited —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 curvature test)</w:t>
      </w:r>
      <w:r>
        <w:t xml:space="preserve">:</w:t>
      </w:r>
      <w:r>
        <w:t xml:space="preserve"> </w:t>
      </w:r>
      <w:r>
        <w:t xml:space="preserve">ln_LP_it = α + β₁ FSTS_c_it + β₂ FSTS_c²_it + γ·X_it + δ_c + λ_t + ε_it</w:t>
      </w:r>
    </w:p>
    <w:p>
      <w:pPr>
        <w:pStyle w:val="BodyText"/>
      </w:pPr>
      <w:r>
        <w:rPr>
          <w:bCs/>
          <w:b/>
        </w:rPr>
        <w:t xml:space="preserve">M3 (capabilities —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adding FSTS_c in M1 marginally increases R² to 0.8001 —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63dffc52705f613b9189e4d063445c8fa1c57bf"/>
    <w:p>
      <w:pPr>
        <w:pStyle w:val="Heading3"/>
      </w:pPr>
      <w:r>
        <w:t xml:space="preserve">4.3 Monotone Negative Form: No Curvature (H1 — quadratic null)</w:t>
      </w:r>
    </w:p>
    <w:p>
      <w:pPr>
        <w:pStyle w:val="FirstParagraph"/>
      </w:pPr>
      <w:r>
        <w:rPr>
          <w:bCs/>
          <w:b/>
        </w:rPr>
        <w:t xml:space="preserve">M2</w:t>
      </w:r>
      <w:r>
        <w:t xml:space="preserve"> </w:t>
      </w:r>
      <w:r>
        <w:t xml:space="preserve">introduces the quadratic term FSTS_c² to test whether the negative I-P relationship is eventually reversed —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 —</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 —</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 —</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 —</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 which might absorb too much structural variation —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 the hallmark of the FIP mechanism rather than adverse selection.</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 while small and non-significant —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 absent trade finance intermediaries, unreliable contract enforcement, limited standards infrastructure —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the sign — not just the magnitude —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 where all three structural prerequisites are absent simultaneously —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 Vietnam, Singapore, China, and multi-country samples —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 though non-significant —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 capabilities help the level, not the slope —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 adopted at the Fourth International Conference on SIDS —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 without simultaneously addressing the violated structural prerequisites —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 standards bodies, trade finance intermediaries, export promotion agencies with genuine capacity —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 where available for Fiji and Papua New Guinea, which have two waves — could strengthen causal identification.</w:t>
      </w:r>
    </w:p>
    <w:p>
      <w:pPr>
        <w:pStyle w:val="BodyText"/>
      </w:pPr>
      <w:r>
        <w:t xml:space="preserve">Second,</w:t>
      </w:r>
      <w:r>
        <w:t xml:space="preserve"> </w:t>
      </w:r>
      <w:r>
        <w:rPr>
          <w:bCs/>
          <w:b/>
        </w:rPr>
        <w:t xml:space="preserve">FSTS measurement in thin-export contexts</w:t>
      </w:r>
      <w:r>
        <w:t xml:space="preserve">: with mean FSTS of 0.060 and only 12.7% exporters, the FSTS distribution is highly 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 Saharan micro-states, remote highland economies, post-conflict settings — may exhibit similar patterns. Caribbean SIDS (not included in our sample) represent a natural extension context.</w:t>
      </w:r>
    </w:p>
    <w:p>
      <w:r>
        <w:pict>
          <v:rect style="width:0;height:1.5pt" o:hralign="center" o:hrstd="t" o:hr="t"/>
        </w:pic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confirming the monotone negative form with no observable turning point. Technological capability and digital adoption — significant in mainland Asian contexts — are null in the SIDS environment, consistent with the FIP theoretical mechanism.</w:t>
      </w:r>
    </w:p>
    <w:p>
      <w:pPr>
        <w:pStyle w:val="BodyText"/>
      </w:pPr>
      <w:r>
        <w:t xml:space="preserve">These findings contribute to IB theory in two ways. First, they help reorient the discourse on institutional effects from "institutional moderation of I-P intensity" to "institutional determination of I-P sign," suggesting that the inverted-U may be conditional on structural prerequisites rather than broadly applicable across contexts. Second, they extend the application of "forced internationalization" 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 not merely the intensification of export activity per se.</w:t>
      </w:r>
    </w:p>
    <w:p>
      <w:r>
        <w:pict>
          <v:rect style="width:0;height:1.5pt" o:hralign="center" o:hrstd="t" o:hr="t"/>
        </w:pict>
      </w:r>
    </w:p>
    <w:bookmarkEnd w:id="44"/>
    <w:bookmarkStart w:id="48"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5">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6">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8"/>
    <w:bookmarkStart w:id="52" w:name="appendix-a-tables"/>
    <w:p>
      <w:pPr>
        <w:pStyle w:val="Heading2"/>
      </w:pPr>
      <w:r>
        <w:t xml:space="preserve">Appendix A: Tables</w:t>
      </w:r>
    </w:p>
    <w:bookmarkStart w:id="49"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9"/>
    <w:bookmarkStart w:id="50"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 β(FSTS_c) = −0.404, p = .032 (M1).</w:t>
      </w:r>
    </w:p>
    <w:bookmarkEnd w:id="50"/>
    <w:bookmarkStart w:id="51"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51"/>
    <w:bookmarkEnd w:id="52"/>
    <w:bookmarkEnd w:id="5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2026-05-17T09:06:27Z</dcterms:created>
  <dcterms:modified xsi:type="dcterms:W3CDTF">2026-05-17T09:06:27Z</dcterms:modified>
</cp:coreProperties>
</file>

<file path=docProps/custom.xml><?xml version="1.0" encoding="utf-8"?>
<Properties xmlns="http://schemas.openxmlformats.org/officeDocument/2006/custom-properties" xmlns:vt="http://schemas.openxmlformats.org/officeDocument/2006/docPropsVTypes"/>
</file>