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các bảng kiểm định vững (robustness check); Bảng 5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X8291021638e5c0ee7b47a0aaabc4b853f1da348"/>
    <w:p>
      <w:pPr>
        <w:pStyle w:val="Heading2"/>
      </w:pPr>
      <w:r>
        <w:t xml:space="preserve">1. Giới Thiệu</w:t>
      </w:r>
    </w:p>
    <w:bookmarkStart w:id="22" w:name="X334aa1d7381c0aa4403628a4d08e3540e6bf4ab"/>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Xeedc03ef61ada7b1412bb34ba01505c4b6d308f"/>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Xc5f8c54d1e28ab23edd201073817c5235eb4c7f"/>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Xc948a667d59efd33f3b5fae659341d5c8fb2e03"/>
    <w:p>
      <w:pPr>
        <w:pStyle w:val="Heading2"/>
      </w:pPr>
      <w:r>
        <w:t xml:space="preserve">2. Lý Thuyết và Giả Thuyết</w:t>
      </w:r>
    </w:p>
    <w:bookmarkStart w:id="27"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Trong bối cảnh xuất khẩu bị lạm phát số không của Việt Nam, khi các doanh nghiệp vượt qua rào cản tham gia vào thị trường quốc tế, mối quan hệ quốc tế hóa–hiệu quả kinh doanh là không đơn điệu trong mẫu đầy đủ và được hiểu rõ nhất thông qua cấu trúc tham gia–cường độ, bởi vì các cơ chế chi phí phối hợp và học hỏi định hình lợi nhuận I–P vận hành khác nhau tại biên tham gia so với trong nội bộ mẫu con nhà xuất khẩu (Hennart, 2007; Wagner, 2007). (H1a, biên tham gia) Vượt qua từ không xuất khẩu (FSTS = 0) sang xuất khẩu (FSTS &gt; 0) gắn kết tích cực với năng suất lao động, nắm bắt bước nhảy học hỏi–quy mô tại điểm gia nhập, cho đến khi biên cường độ bắt đầu — nơi lợi ích quy mô bão hòa và chi phí phối hợp tăng lên.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cb71c1f1b4c68a47ef08f7407b328f2cfbfb7c8"/>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Trong môi trường xuất khẩu chuyển đổi của Việt Nam, khi các doanh nghiệp nắm giữ năng lực công nghệ nước ngoài và tiêu chuẩn mạnh hơn (TCI_z), năng suất lao động cao hơn, bởi vì tiếp xúc với chứng nhận chất lượng được quốc tế công nhận và công nghệ cấp phép nước ngoài nâng cao năng lực của doanh nghiệp trong việc đáp ứng các yêu cầu thị trường nước ngoài và tích hợp các đầu vào công nghệ bên ngoài vào quy trình sản xuất (Lall, 1992; Cohen và Levinthal, 1990), trước khi lợi nhuận năng suất từ kênh năng lực này bị giới hạn bởi chiều sâu hấp thụ của doanh nghiệp so với toàn bộ kho đổi mới–R&amp;D (Eisenhardt và Martin, 2000).</w:t>
      </w:r>
    </w:p>
    <w:bookmarkEnd w:id="28"/>
    <w:bookmarkStart w:id="29" w:name="Xb7b0710968c2811553ea6b147fa464287e00fbd"/>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Theo Verhoef và cộng sự (2021), năng lực số có thể được phân loại theo bốn cấp bậc: Tầng 1 — sự hiện diện số (websites, email); Tầng 2 — truyền thông số và thương mại điện tử cơ bản; Tầng 3 — tích hợp quy trình số (thanh toán điện tử, số hóa chuỗi cung ứng); Tầng 4 — năng lực số động (ra quyết định dựa trên dữ liệu, tích hợp AI). DAI_z chính neo ở Tầng 1 mà thôi. Một phần mở rộng kiểu Tầng 3 (DAI_rich) được báo cáo trong Bảng B của Phần 4.5 cho đợt 2023, khi các mục thanh toán điện tử trở nên có sẵn (k33, k38). Nhãn "áp dụng số nền tảng" (foundational digital adoption) do đó theo dõi những gì cấu trúc có thể thực sự xác định qua cửa sổ 2009–2023.</w:t>
      </w:r>
    </w:p>
    <w:p>
      <w:pPr>
        <w:pStyle w:val="BodyText"/>
      </w:pPr>
      <w:r>
        <w:t xml:space="preserve">Đối với các doanh nghiệp tham gia thị trường nước ngoài, ngay cả áp dụng website nền tảng cũng có thể có giá trị. Website giảm chi phí mà qua đó khách hàng nước ngoài có thể tìm thấy doanh nghiệp, hỗ trợ giao tiếp bất đồng bộ qua các múi giờ, và tín hiệu tính hợp pháp cơ bản trong các giao dịch quốc tế. Phạm vi của những lợi ích này bị giới hạn — website không tự nó tích hợp giao dịch, chuỗi cung ứng, hoặc ra quyết định — và lợi nhuận thực hiện phụ thuộc vào việc doanh nghiệp có quy mô và thói quen để chuyển đổi khả năng hiển thị trực tuyến thành kinh doanh xuất khẩu hay không. Tính liên quan thông tin của website có thể đã thay đổi qua cửa sổ 2009–2023: vào năm 2009, website là giao diện thị trường phân biệt; đến năm 2023, nó gần với chỉ dấu thông lệ của sự hiện diện số cơ bản.</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r>
        <w:t xml:space="preserve"> </w:t>
      </w:r>
      <w:r>
        <w:t xml:space="preserve">DAI_z được giữ lại trong tất cả các đặc tả như một biến kiểm soát sự hiện diện số nền tảng để hấp thụ phương sai quyền sở hữu website, và mối liên kết mức của nó với năng suất được báo cáo mô tả.</w:t>
      </w:r>
    </w:p>
    <w:p>
      <w:pPr>
        <w:pStyle w:val="BodyText"/>
      </w:pPr>
      <w:r>
        <w:rPr>
          <w:bCs/>
          <w:b/>
        </w:rPr>
        <w:t xml:space="preserve">Lưu ý phạm vi WBES.</w:t>
      </w:r>
      <w:r>
        <w:t xml:space="preserve"> </w:t>
      </w:r>
      <w:r>
        <w:t xml:space="preserve">Vì công cụ WBES Việt Nam chỉ mang chỉ số nhị phân sự hiện diện website (c22b) có thể so sánh qua các đợt 2009/2015/2023, bài báo này không cố gắng kiểm định các cơ chế chuyển đổi số cấp cao hơn như ra quyết định dựa trên dữ liệu, tích hợp AI, hoặc số hóa quy trình dựa trên ERP. Bất kỳ hệ số mô tả nào trên DAI_z nên được đọc là phản ánh sự biến đổi sự hiện diện số nền tảng, không phải năng lực số động.</w:t>
      </w:r>
    </w:p>
    <w:bookmarkEnd w:id="29"/>
    <w:bookmarkStart w:id="30" w:name="Xce6c9a7d1c5c7c35771643fb67f4c7850f13da7"/>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Hai cơ chế song song đằng sau bất kỳ sự nén DAI nào ở đợt muộn.</w:t>
      </w:r>
      <w:r>
        <w:t xml:space="preserve"> </w:t>
      </w:r>
      <w:r>
        <w:t xml:space="preserve">Bất kỳ tương tác âm DAI × FSTS nào được quan sát ở các đợt muộn có thể được đọc qua hai cơ chế bổ sung mà bài báo này coi là hoạt động đồng thời hơn là loại trừ lẫn nhau.</w:t>
      </w:r>
      <w:r>
        <w:t xml:space="preserve"> </w:t>
      </w:r>
      <w:r>
        <w:rPr>
          <w:iCs/>
          <w:i/>
        </w:rPr>
        <w:t xml:space="preserve">Cơ chế A — tính phức tạp phối hợp phụ thuộc giai đoạn</w:t>
      </w:r>
      <w:r>
        <w:t xml:space="preserve">: ở cường độ xuất khẩu cao, nhu cầu phối hợp biên của các giao dịch xuyên biên giới bổ sung vượt quá những gì một chỉ số website Tầng 1 đơn lẻ có thể hỗ trợ; ma sát ràng buộc là sự vắng mặt của tích hợp quy trình Tầng 2–3 sâu hơn, thanh toán, và số hóa logistics hơn là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vào năm 2023 so với 42,5% năm 2009), chỉ số c22b ngày càng hoạt động như chỉ dấu vệ sinh tổ chức hơn là tín hiệu năng lực phân biệt, do đó mối liên kết đo lường của nó với năng suất suy giảm mà không có thay đổi cấu trúc nào trong cơ chế phối hợp cơ bản. Hai cách đọc này tương ứng với các nguồn khác nhau của cùng một mô hình thực nghiệm, và thiết kế 2009/2015/2023 không thể tách đầy đủ hai kênh trong phạm vi công cụ Tầng 1 WBES.</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 Bất kỳ điều tiết nào của đường cong cường độ xuất khẩu bởi sự hiện diện số nền tảng do đó được kỳ vọng là theo đợt cụ thể hơn là có mặt đồng đều qua các giai đoạn, với khả năng phát hiện trong mẫu mạnh nhất được kỳ vọng ở đợt 2023.</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9625864dada8107383b4a16f8e95c829edc6c27"/>
    <w:p>
      <w:pPr>
        <w:pStyle w:val="Heading2"/>
      </w:pPr>
      <w:r>
        <w:t xml:space="preserve">3. Dữ Liệu, Biến Số, và Chiến Lược Thực Nghiệm</w:t>
      </w:r>
    </w:p>
    <w:bookmarkStart w:id="32"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X4ccc2fb137c87b79d1e71cbfea6dc6e4b23640a"/>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p>
      <w:pPr>
        <w:pStyle w:val="BodyText"/>
      </w:pPr>
      <w:r>
        <w:rPr>
          <w:bCs/>
          <w:b/>
        </w:rPr>
        <w:t xml:space="preserve">Bảng 1: Định nghĩa biến số và nguồn dữ liệu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log(doanh thu PPP hàng năm / lao động toàn thời gian)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doanh thu xuất khẩu trực tiếp / tổng doanh thu</w:t>
            </w:r>
          </w:p>
        </w:tc>
        <w:tc>
          <w:tcPr/>
          <w:p>
            <w:pPr>
              <w:pStyle w:val="Compact"/>
              <w:jc w:val="left"/>
            </w:pPr>
            <w:r>
              <w:t xml:space="preserve">Quốc tế hóa (thô)</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bình_đợt(FSTS): căn giữa theo đợt</w:t>
            </w:r>
          </w:p>
        </w:tc>
        <w:tc>
          <w:tcPr/>
          <w:p>
            <w:pPr>
              <w:pStyle w:val="Compact"/>
              <w:jc w:val="left"/>
            </w:pPr>
            <w:r>
              <w:t xml:space="preserve">Quốc tế hóa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(kiểm định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 trong đợt của trung bình(b8, e6): chứng nhận chất lượng + công nghệ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 trong đợt của c22b: sự hiện diện website (nhị phân)</w:t>
            </w:r>
          </w:p>
        </w:tc>
        <w:tc>
          <w:tcPr/>
          <w:p>
            <w:pPr>
              <w:pStyle w:val="Compact"/>
              <w:jc w:val="left"/>
            </w:pPr>
            <w:r>
              <w:t xml:space="preserve">Sự hiện diện số Tầng 1</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số lao động toàn thời gian</w:t>
            </w:r>
          </w:p>
        </w:tc>
        <w:tc>
          <w:tcPr/>
          <w:p>
            <w:pPr>
              <w:pStyle w:val="Compact"/>
              <w:jc w:val="left"/>
            </w:pPr>
            <w:r>
              <w:t xml:space="preserve">Kiểm soát (quy mô)</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năm khảo sát − b5 (năm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(vốn nước ngoài tư nhân)</w:t>
            </w:r>
          </w:p>
        </w:tc>
        <w:tc>
          <w:tcPr/>
          <w:p>
            <w:pPr>
              <w:pStyle w:val="Compact"/>
              <w:jc w:val="left"/>
            </w:pPr>
            <w:r>
              <w:t xml:space="preserve">Kiểm soát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hiệu ứng cố định ngành ISIC 1 chữ số</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đợt (chỉ cho mô hình gộp)</w:t>
            </w:r>
          </w:p>
        </w:tc>
        <w:tc>
          <w:tcPr/>
          <w:p>
            <w:pPr>
              <w:pStyle w:val="Compact"/>
              <w:jc w:val="left"/>
            </w:pPr>
            <w:r>
              <w:t xml:space="preserve">Hiệu ứng cố định thời gian</w:t>
            </w:r>
          </w:p>
        </w:tc>
      </w:tr>
    </w:tbl>
    <w:p>
      <w:pPr>
        <w:pStyle w:val="BodyText"/>
      </w:pPr>
      <w:r>
        <w:rPr>
          <w:iCs/>
          <w:i/>
        </w:rPr>
        <w:t xml:space="preserve">Ghi chú. Tất cả biến liên tục được xây dựng lại sau khi lọc các mã không hợp lệ WBES (−9 xử lý là thiếu). Chuẩn hóa z (TCI_z, DAI_z) và căn giữa (FSTS_c) được áp dụng riêng theo từng đợt để loại bỏ sự trượt thang đo liên đợt. Nguồn: Khảo sát Doanh nghiệp Ngân hàng Thế giới (Việt Nam 2009, 2015, 2023).</w:t>
      </w:r>
    </w:p>
    <w:bookmarkEnd w:id="33"/>
    <w:bookmarkStart w:id="34" w:name="X8642aea1e604fb368b9205dd294c100b0dc6e7e"/>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Mô hình tuyến tính giới thiệu FSTS_c. Mô hình phi tuyến thêm số hạng bậc hai FSTS_c² để kiểm định H1 (chữ U ngược). Các mô hình điều tiết giới thiệu TCI_z và DAI_z, trước tiên với các số hạng tương tác với FSTS_c và FSTS_c², sau đó trong các đặc tả hiệu ứng trực tiếp. Mô hình đầy đủ bao gồm số hạng quốc tế hóa phi tuyến, cả hai thước đo năng lực trực tiếp, và các tương tác liên quan đến sự hiện diện số. Các kết quả được mô tả như mối liên kết thống kê, không phải hiệu ứng nhân quả.</w:t>
      </w:r>
    </w:p>
    <w:p>
      <w:pPr>
        <w:pStyle w:val="BodyText"/>
      </w:pPr>
      <w:r>
        <w:t xml:space="preserve">Các đặc tả hình thức (i = doanh nghiệp, t = đợt khảo sát):</w:t>
      </w:r>
    </w:p>
    <w:p>
      <w:pPr>
        <w:pStyle w:val="BodyText"/>
      </w:pPr>
      <w:r>
        <w:rPr>
          <w:bCs/>
          <w:b/>
        </w:rPr>
        <w:t xml:space="preserve">M0 (Mô hình kiểm soát cơ sở):</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γ·X_it + δ_s + [λ_t] + ε_it</w:t>
      </w:r>
    </w:p>
    <w:p>
      <w:pPr>
        <w:pStyle w:val="BodyText"/>
      </w:pPr>
      <w:r>
        <w:rPr>
          <w:bCs/>
          <w:b/>
        </w:rPr>
        <w:t xml:space="preserve">M2 (Quốc tế hóa phi tuyến — kiểm định H1):</w:t>
      </w:r>
      <w:r>
        <w:t xml:space="preserve"> </w:t>
      </w:r>
      <w:r>
        <w:t xml:space="preserve">lnLP_it = α + β₁ FSTS_c_it + β₂ FSTS_c²_it + γ·X_it + δ_s + [λ_t] + ε_it</w:t>
      </w:r>
      <w:r>
        <w:t xml:space="preserve"> </w:t>
      </w:r>
      <w:r>
        <w:rPr>
          <w:iCs/>
          <w:i/>
        </w:rPr>
        <w:t xml:space="preserve">H1: β₁ &gt; 0, β₂ &lt; 0; Điểm ngoặt TP* = −β₁ / (2β₂)</w:t>
      </w:r>
    </w:p>
    <w:p>
      <w:pPr>
        <w:pStyle w:val="BodyText"/>
      </w:pPr>
      <w:r>
        <w:rPr>
          <w:bCs/>
          <w:b/>
        </w:rPr>
        <w:t xml:space="preserve">M3 (Điều tiết TCI — kiểm định H2):</w:t>
      </w:r>
      <w:r>
        <w:t xml:space="preserve"> </w:t>
      </w:r>
      <w:r>
        <w:t xml:space="preserve">lnLP_it = α + β₁ FSTS_c + β₂ FSTS_c² + β₃ TCI_z + β₄(FSTS_c × TCI_z) + β₅(FSTS_c² × TCI_z) + γ·X + δ_s + [λ_t] + ε</w:t>
      </w:r>
    </w:p>
    <w:p>
      <w:pPr>
        <w:pStyle w:val="BodyText"/>
      </w:pPr>
      <w:r>
        <w:rPr>
          <w:bCs/>
          <w:b/>
        </w:rPr>
        <w:t xml:space="preserve">M4 (Điều tiết DAI — thăm dò H4):</w:t>
      </w:r>
      <w:r>
        <w:t xml:space="preserve"> </w:t>
      </w:r>
      <w:r>
        <w:t xml:space="preserve">lnLP_it = α + β₁ FSTS_c + β₂ FSTS_c² + β₃ DAI_z + β₄(FSTS_c × DAI_z) + β₅(FSTS_c² × DAI_z) + γ·X + δ_s + [λ_t] + ε</w:t>
      </w:r>
    </w:p>
    <w:p>
      <w:pPr>
        <w:pStyle w:val="BodyText"/>
      </w:pPr>
      <w:r>
        <w:rPr>
          <w:bCs/>
          <w:b/>
        </w:rPr>
        <w:t xml:space="preserve">M5 (TCI hiệu ứng trực tiếp — kiểm định H2 trực tiếp):</w:t>
      </w:r>
      <w:r>
        <w:t xml:space="preserve"> </w:t>
      </w:r>
      <w:r>
        <w:t xml:space="preserve">lnLP_it = α + β₁ FSTS_c + β₂ FSTS_c² + β₃ TCI_z + γ·X + δ_s + [λ_t] + ε</w:t>
      </w:r>
    </w:p>
    <w:p>
      <w:pPr>
        <w:pStyle w:val="BodyText"/>
      </w:pPr>
      <w:r>
        <w:rPr>
          <w:bCs/>
          <w:b/>
        </w:rPr>
        <w:t xml:space="preserve">M6 (DAI hiệu ứng trực tiếp):</w:t>
      </w:r>
      <w:r>
        <w:t xml:space="preserve"> </w:t>
      </w:r>
      <w:r>
        <w:t xml:space="preserve">lnLP_it = α + β₁ FSTS_c + β₂ FSTS_c² + β₃ DAI_z + γ·X + δ_s + [λ_t] + ε</w:t>
      </w:r>
    </w:p>
    <w:p>
      <w:pPr>
        <w:pStyle w:val="BodyText"/>
      </w:pPr>
      <w:r>
        <w:rPr>
          <w:bCs/>
          <w:b/>
        </w:rPr>
        <w:t xml:space="preserve">M7 (Kép trực tiếp — không tương tác):</w:t>
      </w:r>
      <w:r>
        <w:t xml:space="preserve"> </w:t>
      </w:r>
      <w:r>
        <w:t xml:space="preserve">lnLP_it = α + β₁ FSTS_c + β₂ FSTS_c² + β₃ TCI_z + β₄ DAI_z + γ·X + δ_s + [λ_t] + ε</w:t>
      </w:r>
    </w:p>
    <w:p>
      <w:pPr>
        <w:pStyle w:val="BodyText"/>
      </w:pPr>
      <w:r>
        <w:rPr>
          <w:bCs/>
          <w:b/>
        </w:rPr>
        <w:t xml:space="preserve">M8 (Mô hình đầy đủ — kép trực tiếp + điều tiết DAI):</w:t>
      </w:r>
      <w:r>
        <w:t xml:space="preserve"> </w:t>
      </w:r>
      <w:r>
        <w:t xml:space="preserve">lnLP_it = α + β₁ FSTS_c + β₂ FSTS_c² + β₃ TCI_z + β₄ DAI_z + β₅(FSTS_c × DAI_z) + β₆(FSTS_c² × DAI_z) + γ·X + δ_s + [λ_t] + ε</w:t>
      </w:r>
    </w:p>
    <w:p>
      <w:pPr>
        <w:pStyle w:val="BodyText"/>
      </w:pPr>
      <w:r>
        <w:rPr>
          <w:iCs/>
          <w:i/>
        </w:rPr>
        <w:t xml:space="preserve">Trong đó γ·X là vectơ kiểm soát (lnEmp, FirmAge, ForeignOwned); δ_s là hiệu ứng cố định ngành; [λ_t] chỉ thêm vào mô hình gộp. Kiểm định Lind–Mehlum (2010) xác nhận H1 trên cơ sở utest. Công thức điểm ngoặt: TP* = −β₁/(2β₂), với khoảng tin cậy 95% tính bằng phương pháp delta.</w:t>
      </w:r>
    </w:p>
    <w:bookmarkEnd w:id="34"/>
    <w:bookmarkStart w:id="35" w:name="X6155d6184acea012ad14c2dab62a958c2753218"/>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3" w:name="Xc1528237297c4ce8999628372a6b48494fd6214"/>
    <w:p>
      <w:pPr>
        <w:pStyle w:val="Heading2"/>
      </w:pPr>
      <w:r>
        <w:t xml:space="preserve">4. Kết Quả</w:t>
      </w:r>
    </w:p>
    <w:p>
      <w:pPr>
        <w:pStyle w:val="FirstParagraph"/>
      </w:pPr>
      <w:r>
        <w:t xml:space="preserve">Bảng 2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2: Thống kê mô tả mẫu phân tích theo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w:t>
      </w:r>
      <w:r>
        <w:t xml:space="preserve"> </w:t>
      </w:r>
      <w:hyperlink r:id="rId37">
        <w:r>
          <w:rPr>
            <w:rStyle w:val="Hyperlink"/>
          </w:rPr>
          <w:t xml:space="preserve">www.enterprisesurveys.org;</w:t>
        </w:r>
      </w:hyperlink>
      <w:r>
        <w:t xml:space="preserve"> </w:t>
      </w:r>
      <w:r>
        <w:t xml:space="preserve">tính toán của tác giả.</w:t>
      </w:r>
    </w:p>
    <w:bookmarkStart w:id="38" w:name="X20f2ecaf0c0bb6962fab79a83ac7cce2d90a2b3"/>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 null vào năm 2015 (β = -0,044 n.s.), và tái xuất hiện vào năm 2023 (β = 0,095 *) — và kênh điều tiết của nó chỉ xuất hiện vào năm 2023.</w:t>
      </w:r>
    </w:p>
    <w:bookmarkEnd w:id="38"/>
    <w:bookmarkStart w:id="39" w:name="X24d51f9079bfffa9c55643ac39b315389bc2357"/>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9"/>
    <w:bookmarkStart w:id="40" w:name="X8204481221b3f08506000f74309cc6c5f44c202"/>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40"/>
    <w:bookmarkStart w:id="41" w:name="X3e23f2a8c949c5eaca75fccbbb894316cf69fce"/>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1"/>
    <w:bookmarkStart w:id="42" w:name="X962cc121588f17586cf99031ffe1a2d08c3af00"/>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5: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2"/>
    <w:bookmarkEnd w:id="43"/>
    <w:bookmarkStart w:id="49" w:name="X3923f9545aa9c992e02ccb4472a40e02686b4e2"/>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4" w:name="X047f8ef74dd5829418ae8a71fb238a8f559f164"/>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4"/>
    <w:bookmarkStart w:id="45" w:name="Xb99763036d2533944896b7824b98baeefdb1a70"/>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 "áp dụng số" hoặc "chuyển đổi số" 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p>
      <w:pPr>
        <w:pStyle w:val="BodyText"/>
      </w:pPr>
      <w:r>
        <w:t xml:space="preserve">Phần mở rộng DAI_rich được báo cáo trong Bảng B (Phần 4.5) củng cố thêm giải thích cấu trúc thay vì làm suy yếu nó. Mặc dù DAI_z chính neo trên c22b vào năm 2023 gần với chỉ số nền tảng Tầng 1, phần mở rộng DAI_rich — kết hợp c22b với tỷ lệ thanh toán điện tử (k33, k38) — tạo ra mô hình điều tiết theo cùng hướng (FSTS_c × DAI_rich_cont_z = −0,93; kiểm định chung M8 p = 0,099). Cho dù áp dụng số được đo bằng chỉ số website Tầng 1 mỏng hay bằng các mục giao dịch Tầng 2/3 sâu hơn, mô hình điều tiết trong 2023 đi theo cùng một hướng. Bằng chứng cùng chiều hướng này bảo vệ chống lại cách đọc lỗi thời đại diện khi được xem xét độc lập: ngay cả dưới đo lường phong phú hơn khó bác bỏ hơn là chỉ dấu thông lệ, điều tiết trong 2023 vẫn nhất quán với phát hiện tổng thể.</w:t>
      </w:r>
    </w:p>
    <w:p>
      <w:pPr>
        <w:pStyle w:val="BodyText"/>
      </w:pPr>
      <w:r>
        <w:t xml:space="preserve">Sự khác biệt giữa TCI và DAI quan trọng vì hai cấu trúc không hoạt động giống nhau qua các giai đoạn hoặc dưới các chiến lược nhận diện khác nhau. TCI_z hoạt động như một năng lực công nghệ/tiêu chuẩn nước ngoài vững mà mối liên kết năng suất của nó tồn tại qua cả PSM và 2SLS. DAI_z hoạt động như một chỉ dấu nhạy cảm theo bối cảnh mà mối liên kết năng suất của nó được ghi lại dưới so sánh ghép nhưng không dưới biến thiên công cụ ngoại sinh. Điều này hỗ trợ một cách tiếp cận thận trọng hơn đối với số hóa trong nghiên cứu kinh doanh quốc tế — phân biệt giữa kích hoạt số cơ bản (dễ bị ô nhiễm bởi lựa chọn trên các biến quan sát) và độ sâu công nghệ rộng hơn (vững nhận diện hơn) thay vì gộp chúng vào một nhãn "chuyển đổi số" duy nhất.</w:t>
      </w:r>
    </w:p>
    <w:bookmarkEnd w:id="45"/>
    <w:bookmarkStart w:id="46" w:name="Xe787e137528a4ec4fabd0eba9d0dcd2b3276931"/>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2,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p>
      <w:pPr>
        <w:pStyle w:val="BodyText"/>
      </w:pPr>
      <w:r>
        <w:t xml:space="preserve">Một giải thích bổ sung — và ở một mức độ nhất định, bổ sung cho nhau — là lỗi thời đại diện (proxy obsolescence): chỉ số c22b về quyền sở hữu website đo lường những điều khác nhau vào năm 2009, 2015 và 2023 mặc dù văn bản câu hỏi giống hệt nhau qua các đợt. Vào năm 2009, có một website doanh nghiệp là một giao diện thị trường tương đối phân biệt tín hiệu tính hợp pháp số cơ bản trong các giao dịch quốc tế; đến năm 2023, website gần với chỉ dấu thông lệ của sự hiện diện số cơ bản được chia sẻ qua cả các doanh nghiệp xuất khẩu và không xuất khẩu. Dưới cách đọc này, sự sụt giảm mối liên kết trực tiếp DAI qua các đợt một phần phản ánh sự thu hẹp nội dung thông tin của c22b hơn là thay đổi cấu trúc trong lợi nhuận năng suất đối với áp dụng số nền tảng. Lỗi thời đại diện và tính tùy theo giai đoạn không loại trừ lẫn nhau; cả hai có thể đang hoạt động đồng thời, và thiết kế nghiên cứu trong tương lai sử dụng các đợt với các mục Tầng 2–3 phong phú hơn sẽ cần tách hai kênh này ra.</w:t>
      </w:r>
    </w:p>
    <w:p>
      <w:pPr>
        <w:pStyle w:val="BodyText"/>
      </w:pPr>
      <w:r>
        <w:t xml:space="preserve">Bối cảnh vĩ mô của giai đoạn này phù hợp với một đáy cơ sở hạ tầng số vào năm 2015 so với các điểm neo 2009 và 2023. Các chỉ số thứ cấp công cộng hỗ trợ cách đọc này: Chỉ số Phát triển Thế giới của Ngân hàng Thế giới (WDI) ghi nhận tỷ lệ cá nhân sử dụng Internet của Việt Nam ở mức khoảng 26% vào năm 2009, 45% vào năm 2015 và trên 78% vào năm 2023; đăng ký băng rộng cố định mỗi 100 người của ITU tăng từ khoảng 3 vào năm 2009 lên 8 vào năm 2015 và trên 20 vào năm 2023. Chương trình Chuyển đổi Số Quốc gia (NDTP) của Việt Nam được ban hành vào năm 2020, và các nền tảng thanh toán điện tử xuyên biên giới (VNPAY, MoMo, ZaloPay) cùng các sàn giao dịch xuất khẩu B2B (Alibaba.com, Amazon Global Selling) chỉ đạt quy mô ở Việt Nam sau năm 2018–2019. Do đó, đợt 2015 quan sát các nhà xuất khẩu Việt Nam trong giai đoạn cơ sở hạ tầng chuyển đổi trong đó website chưa thể kết nối vào hệ sinh thái số hỗ trợ giao dịch; đợt 2023 quan sát họ sau khi cơ sở hạ tầng sau NDTP đã trưởng thành. Các chỉ số vĩ mô này không được đưa vào hồi quy — chúng không phải là biến thiên nhận diện — nhưng chúng làm cho cách đọc theo đợt có tính khả thi về mặt thể chế hơn là thuần túy hậu kỳ.</w:t>
      </w:r>
    </w:p>
    <w:p>
      <w:pPr>
        <w:pStyle w:val="BodyText"/>
      </w:pPr>
      <w:r>
        <w:t xml:space="preserve">Thay vì xem đợt 2015 như một sự bất thường, cách hữu ích hơn là diễn giải nó như bằng chứng về tính không đồng nhất theo đợt phù hợp với tính tùy theo giai đoạn (stage contingency). Sự giảm sút chứng minh lý do tại sao các trung bình gộp một mình là không đủ: không có phân tích theo đợt, người ta sẽ bỏ lỡ khả năng rằng lợi nhuận năng lực nén hoặc mờ dần tạm thời trước khi tái xuất hiện trong giai đoạn sau, ngay cả khi các tham số độ cong của mối quan hệ I–P vẫn không thể phân biệt về mặt thống kê qua các đợt.</w:t>
      </w:r>
    </w:p>
    <w:bookmarkEnd w:id="46"/>
    <w:bookmarkStart w:id="47" w:name="X9f0f34e1ef91fb84c2d47a866e65edd8c1a821b"/>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 Áp dụng website nền tảng và kết nối thanh toán điện tử cơ bản vẫn hữu ích như các tín hiệu uy tín chi phí thấp cho các người mua nước ngoài tiềm năng, nhưng đóng góp năng suất của chúng bị giới hạn bởi trần Tầng 1 của công cụ WBES và bởi sự suy giảm nội dung thông tin c22b do khuếch tán. Chi tiêu vốn cho thiết kế lại website hoặc các mở rộng số-marketing tăng thêm ở giai đoạn này mang lại lợi nhuận năng suất cận biên hạn chế so với đầu tư giải tỏa các rào cản chi phí cố định cho lần tham gia xuất khẩu đầu tiên: thông tin thị trường nước ngoài, chứng nhận chất lượng tiêu chuẩn ISO, và tài chính chi phí gia nhập.</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 Do đó, chi tiêu vốn nên nghiêng về các đầu tư tăng cường TCI — công nghệ được cấp phép nước ngoài, hệ thống chứng nhận chất lượng chính thức, tích hợp quy trình với các chủ hàng nước ngoài — hơn là các nâng cấp DAI tăng thêm trên lớp Tầng 1. Website cơ bản ở giai đoạn này là một yếu tố vệ sinh (hygiene factor); điều phân biệt kết quả năng suất trong nhóm là liệu doanh nghiệp có hấp thụ được năng lực công nghệ và tiêu chuẩn sâu hơn để hấp thụ chi phí phối hợp ở cường độ xuất khẩu cao hơn hay không.</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 Đối với các nhà xuất khẩu cường độ cao, đầu tư cận biên vào cơ sở hạ tầng website Tầng 1 mang lại mối liên kết năng suất cận biên âm; ma sát ràng buộc là sự vắng mặt của tích hợp quy trình, thanh toán, và số hóa chuỗi cung ứng Tầng 2–3 mà công cụ Tầng 1 WBES không thể nắm bắt nhưng phần mở rộng DAI_rich (Bảng B) hỗ trợ như là con đường nâng cấp phù hợp.</w:t>
      </w:r>
    </w:p>
    <w:p>
      <w:pPr>
        <w:pStyle w:val="BodyText"/>
      </w:pPr>
      <w:r>
        <w:t xml:space="preserve">Sự giảm sút DAI năm 2015 cũng có thể đọc qua lăng kính phân bổ vốn này. Nhóm nhà xuất khẩu năm 2015 tập trung không đồng đều trong các hoạt động lắp ráp phụ thuộc OEM nơi website doanh nghiệp hoạt động như tờ rơi số hơn là công cụ phối hợp — bối cảnh mà cơ sở hạ tầng số Tầng 1 không thể thay thế cho các giao diện số do người mua thượng nguồn kiểm soát trung gian dòng giao dịch thực sự. Đối với các nhà quản lý của các doanh nghiệp kiểu OEM, hàm ý là các nâng cấp DAI thuần túy không giải tỏa trần năng suất khi ràng buộc ràng buộc là quản trị số thượng nguồn; đòn bẩy năng lực liên quan đến năng suất trong các nhóm như vậy là nâng cấp hướng đến các kênh neo trên TCI cải thiện vị thế của doanh nghiệp so với các chủ hàng nước ngoài.</w:t>
      </w:r>
    </w:p>
    <w:p>
      <w:pPr>
        <w:pStyle w:val="BodyText"/>
      </w:pPr>
      <w:r>
        <w:t xml:space="preserve">Hai nguyên tắc xuyên cắt nổi lên từ bản đồ phân bổ này. Thứ nhất, các nhà quản lý nên tránh đánh đồng áp dụng số cơ bản với năng lực công nghệ sâu hơn — hai cấu trúc không hoạt động giống nhau qua các giai đoạn hoặc dưới ước lượng vững nhận diện, và chi tiêu số Tầng 1 không thay thế cho các đầu tư công nghệ nước ngoài, tiêu chuẩn và tích hợp quy trình mà kênh TCI phản ánh. Thứ hai, các quyết định phân bổ nên được phân giai đoạn theo các ngưỡng được neo theo kinh nghiệm hơn là theo các quy định chuyển đổi số chung: đầu tư vào sự hiện diện Tầng 1 tăng thêm ở cường độ xuất khẩu cao có thể hấp thụ vốn khan hiếm với lợi nhuận năng suất hạn chế, trong khi đầu tư vào năng lực kênh TCI xung quanh dải 39–46% tương ứng với nơi bằng chứng xuyên đợt nhất quán nhất với hiệu ứng tăng cường năng suất.</w:t>
      </w:r>
    </w:p>
    <w:bookmarkEnd w:id="47"/>
    <w:bookmarkStart w:id="48" w:name="X2e1b23f57ce5a7f32ef434c773aa0f33ad95aec"/>
    <w:p>
      <w:pPr>
        <w:pStyle w:val="Heading3"/>
      </w:pPr>
      <w:r>
        <w:t xml:space="preserve">5.5 Hàm ý chính sách</w:t>
      </w:r>
    </w:p>
    <w:p>
      <w:pPr>
        <w:pStyle w:val="FirstParagraph"/>
      </w:pPr>
      <w:r>
        <w:t xml:space="preserve">Nghiên cứu đóng khung bài đọc chính sách như các cân nhắc thận trọng hơn là các quy định chỉ thị. Tính chất liên kết của bằng chứng, phạm vi rộng của tính không đồng nhất theo đợt, và phạm vi một nền kinh tế duy nhất đều không ủng hộ việc chuyển đổi các phát hiện thành các mục tiêu chính sách cứng. Với những lưu ý đó được giữ rõ ràng,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khi lợi nhuận năng lực bị nén ngay cả khi cường độ xuất khẩu vẫn liên quan đến năng suất. Việc nhắm mục tiêu hỗ trợ xuất khẩu vào các doanh nghiệp đang ở vùng chi phí gia nhập, hơn là các doanh nghiệp đã hoạt động ở cường độ xuất khẩu cao, nhất quán với độ cong được ghi lại trong các mẫu gộp và mẫu đợt sau.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Các chương trình kết hợp áp dụng số Tầng 1–2 với nâng cấp năng lực sâu hơn — chứng nhận chất lượng, đầu tư năng lực hấp thụ, các quy trình tổ chức cho phối hợp xuyên biên giới — sẽ nhất quán hơn với mô hình xuất hiện trong năm 2023.</w:t>
      </w:r>
    </w:p>
    <w:p>
      <w:pPr>
        <w:pStyle w:val="BodyText"/>
      </w:pPr>
      <w:r>
        <w:t xml:space="preserve">Thứ ba, so sánh xuyên đợt — phản ánh các ảnh chụp nhanh cấp nhóm hơn là quỹ đạo trong doanh nghiệp, do thiết kế mặt cắt ngang lặp lại — gợi ý rằng các cửa sổ đánh giá chính sách quan trọng. Một chương trình chuyển đổi số chỉ được đánh giá theo đường cơ sở chuyển đổi kiểu 2015 sẽ đánh giá thấp đóng góp năng suất dài hạn của nó; một chương trình được đánh giá theo đường cơ sở kiểu 2009 hoặc 2023 sẽ đánh giá cao nó so với giai đoạn giữa. Đánh giá chính sách xem xét nghiêm túc các khác biệt cấu trúc theo đợt sẽ kết hợp đo lường kết quả ngắn hạn với đo lường bền vững của môi trường năng lực và cơ sở hạ tầng trong đó các doanh nghiệp hoạt động. Trong bối cảnh Việt Nam, cập nhật</w:t>
      </w:r>
      <w:r>
        <w:t xml:space="preserve"> </w:t>
      </w:r>
      <w:r>
        <w:rPr>
          <w:iCs/>
          <w:i/>
        </w:rPr>
        <w:t xml:space="preserve">Taking Stock</w:t>
      </w:r>
      <w:r>
        <w:t xml:space="preserve"> </w:t>
      </w:r>
      <w:r>
        <w:t xml:space="preserve">của Ngân hàng Thế giới (2025b) xác định việc nuôi dưỡng nhân tài công nghiệp công nghệ cao là một ràng buộc ràng buộc trung gian đầu tư số và năng lực thành lợi nhuận năng suất bền vững — củng cố lập luận rằng đánh giá chính sách trong bối cảnh chuyển đổi phải theo dõi môi trường năng lực, không chỉ tỷ lệ áp dụng.</w:t>
      </w:r>
    </w:p>
    <w:p>
      <w:r>
        <w:pict>
          <v:rect style="width:0;height:1.5pt" o:hralign="center" o:hrstd="t" o:hr="t"/>
        </w:pict>
      </w:r>
    </w:p>
    <w:bookmarkEnd w:id="48"/>
    <w:bookmarkEnd w:id="49"/>
    <w:bookmarkStart w:id="50" w:name="Xfecb8eb1f98cf01ac5e671746dfac500d247fce"/>
    <w:p>
      <w:pPr>
        <w:pStyle w:val="Heading2"/>
      </w:pPr>
      <w:r>
        <w:t xml:space="preserve">6. Hạn Chế và Nghiên Cứu Tương Lai</w:t>
      </w:r>
    </w:p>
    <w:p>
      <w:pPr>
        <w:pStyle w:val="FirstParagraph"/>
      </w:pPr>
      <w:r>
        <w:t xml:space="preserve">Các phát hiện nên được đọc với sáu hạn chế. Hạn chế quan trọng nhất liên quan đến cấu trúc dữ liệu: dữ liệu vi mô Khảo sát Doanh nghiệp Ngân hàng Thế giới (World Bank Enterprise Survey — WBES) là các mặt cắt ngang lặp lại (repeated cross-sections) hơn là một bảng doanh nghiệp thực sự (true firm panel). Thiết kế này không thể xác định quỹ đạo trong nội bộ doanh nghiệp theo thời gian, và tính không đồng nhất không quan sát được bất biến theo thời gian không thể được loại bỏ ở cấp độ doanh nghiệp — điều đó có nghĩa là quy kết nhân quả cho bất kỳ hệ số ước lượng nào là không khả dụng. Ngôn ngữ liên kết (associational language) được sử dụng xuyên suốt bài viết phản ánh ràng buộc này và không nên được nới lỏng trong bất kỳ diễn giải nào của người đọc về kết quả. Biện pháp khắc phục phân tích phù hợp là một bảng dọc doanh nghiệp được ghép kết hợp các đợt WBES với dữ liệu đăng ký hành chính hoặc hồ sơ hải quan, từ đó cho phép nhận diện khác biệt kép (difference-in-differences) hoặc nhận diện hiệu ứng cố định về bước nhảy năng suất tại biên tham gia; Wooldridge (2010) cung cấp khung nhận diện liên quan cho các thiết kế như vậy.</w:t>
      </w:r>
    </w:p>
    <w:p>
      <w:pPr>
        <w:pStyle w:val="BodyText"/>
      </w:pPr>
      <w:r>
        <w:t xml:space="preserve">Thứ hai, DAI_z chỉ nắm bắt lớp nền tảng kiểu Tầng 1 (Tier-1-style layer) của việc áp dụng số tập trung vào sự hiện diện website, hơn là năng lực tổ chức được tích hợp số (digitally integrated organisational capability). Điều này có nghĩa là phân tích hiện tại không thể kết luận liệu tích hợp số sâu hơn — cường độ thanh toán điện tử Tầng 2, số hóa chuỗi cung ứng liên kết ERP Tầng 3, hay vận hành dựa trên dữ liệu Tầng 4 — có biểu hiện một kênh năng suất ổn định hơn hoặc có hình dạng khác so với những gì chỉ số nhị phân sự hiện diện website ghi nhận ở đây. Biện pháp khắc phục phù hợp là một bảng gồm các doanh nghiệp được tích hợp số, đo lường bằng các chỉ số Tầng 2–4 (cường độ thanh toán điện tử k33/k38, áp dụng ERP, tích hợp nền tảng), áp dụng phân cấp cấu trúc-tầng của Verhoef và cộng sự (2021) để gán mỗi chỉ số vào lớp đúng của nó trước khi đưa vào mô hình I–P.</w:t>
      </w:r>
    </w:p>
    <w:p>
      <w:pPr>
        <w:pStyle w:val="BodyText"/>
      </w:pPr>
      <w:r>
        <w:t xml:space="preserve">Thứ ba, phân tích được tiến hành trên một nền kinh tế chuyển đổi (transitional economy) duy nhất. Việt Nam mang tính thông tin chính xác vì môi trường thể chế và số của nước này đã thay đổi đáng kể qua cửa sổ quan sát 2009–2023, nhưng mô hình xuyên đợt được ghi lại ở đây có thể không khái quát hóa mà không cần điều chỉnh sang các nền kinh tế có cơ sở hạ tầng số hoặc cơ cấu xuất khẩu theo quỹ đạo khác.</w:t>
      </w:r>
    </w:p>
    <w:p>
      <w:pPr>
        <w:pStyle w:val="BodyText"/>
      </w:pPr>
      <w:r>
        <w:t xml:space="preserve">Thứ tư, bằng chứng xuyên đợt không đồng đều về sức mạnh thống kê. Kiểm định z của Paternoster và cộng sự (1998) xác nhận rằng sự sụt giảm DAI_z giữa 2009 và 2015 (z = 3,353; p &lt; 0,001) và sự phục hồi của nó giữa 2015 và 2023 (z = −2,051; p = 0,040) có thể phân biệt về mặt thống kê, nhưng hầu hết các sai biệt hệ số xuyên đợt khác nằm ở mức biên hoặc không có ý nghĩa thống kê. So sánh xuyên đợt do đó chủ yếu dựa trên tính nhất quán về chiều hướng của các ước lượng theo từng đợt và sự tập trung của tín hiệu số trong đợt 2023, hơn là các sai biệt hệ số cặp đôi có ý nghĩa thống kê nhất quán qua tất cả các số hạng tiêu điểm. Nhận diện sắc nét hơn về kênh số có thể đạt được bằng cách khai thác thời điểm ngoại sinh của Chương trình Chuyển đổi Số Quốc gia của Việt Nam (khởi động tháng 6 năm 2020; Thủ tướng Chính phủ Việt Nam, 2020) như một công cụ chính sách trong thiết kế khác biệt kép (difference-in-differences) đối chiếu các nhóm doanh nghiệp trước và sau NDTP trong cùng khung lấy mẫu WBES.</w:t>
      </w:r>
    </w:p>
    <w:p>
      <w:pPr>
        <w:pStyle w:val="BodyText"/>
      </w:pPr>
      <w:r>
        <w:t xml:space="preserve">Thứ năm, các hiệu ứng cố định ngành (sector fixed effects) trong các mô hình chính cố ý rộng để giữ đặc tả xuyên đợt có thể so sánh được. Phần 4.5 Bảng G giải quyết một mở rộng tự nhiên bằng cách ước lượng lại các đặc tả M2/M7/M8 gộp trên mẫu con sản xuất (manufacturing; sector1 ∈ {1, 2, 3}; N = 1.854) so với phi sản xuất (non-manufacturing; sector1 ∈ {4, 5, 6, 7}; N = 1.104), và cho thấy kênh áp dụng số hoạt động chủ yếu trong ngành sản xuất trong khi kênh năng lực công nghệ hiện diện ở cả hai nhóm. Các cơ chế cấp ngành tinh tế hơn — ví dụ, đối chiếu các dịch vụ có cường độ số với các dịch vụ truyền thống, hoặc đối chiếu các phân ngành sản xuất định hướng xuất khẩu với định hướng nội địa — sẽ cần thiết kế nghiên cứu khai thác phân loại ngành phong phú hơn mã một chữ số ISIC mà WBES cho phép.</w:t>
      </w:r>
    </w:p>
    <w:p>
      <w:pPr>
        <w:pStyle w:val="BodyText"/>
      </w:pPr>
      <w:r>
        <w:t xml:space="preserve">Thứ sáu, phân tích bị giới hạn ở Việt Nam với tư cách là một nền kinh tế chuyển đổi duy nhất ở một giai đoạn cụ thể trong sự phát triển số và thể chế của nó. Hiểu được mô hình điều tiết DAI được ghi lại ở đây — âm ở cường độ xuất khẩu cao dưới chế độ áp dụng Tầng 1 — so sánh như thế nào với các mô hình ở các thị trường mới nổi khác ở các giai đoạn thể chế khác nhau, hoặc với các mô hình ở các nền kinh tế tiên tiến số nơi tương tác tương tự được dự đoán là dương, đòi hỏi các thiết kế so sánh xuyên bối cảnh (cross-setting comparative designs) phân biệt có hệ thống chi phí giao dịch thể chế và chất lượng cơ sở hạ tầng số. Các thiết kế như vậy cũng sẽ cho phép kiểm định trực tiếp hơn về khung tùy theo bối cảnh (context-contingent framing) được phát triển trong §2.1.</w:t>
      </w:r>
    </w:p>
    <w:p>
      <w:r>
        <w:pict>
          <v:rect style="width:0;height:1.5pt" o:hralign="center" o:hrstd="t" o:hr="t"/>
        </w:pict>
      </w:r>
    </w:p>
    <w:bookmarkEnd w:id="50"/>
    <w:bookmarkStart w:id="51" w:name="X1f9d67da4cff2359f332166e5b547113791cb62"/>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 "áp dụng số" hoặc "chuyển đổi số" 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3"/>
    <w:bookmarkStart w:id="54"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5"/>
    <w:bookmarkStart w:id="56"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6"/>
    <w:bookmarkStart w:id="10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7">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8">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59">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0">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1">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2">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3">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4">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6">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7">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68">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69">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0">
        <w:r>
          <w:rPr>
            <w:rStyle w:val="Hyperlink"/>
          </w:rPr>
          <w:t xml:space="preserve">https://doi.org/10.1257/jel.20171452</w:t>
        </w:r>
      </w:hyperlink>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2">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73">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5">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6">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7">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78">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1">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4">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6">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7">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88">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9">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0">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1">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2">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3">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4">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5">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7">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98">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9">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2">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3">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4">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5">
        <w:r>
          <w:rPr>
            <w:rStyle w:val="Hyperlink"/>
          </w:rPr>
          <w:t xml:space="preserve">https://doi.org/10.1016/j.jwb.2015.09.001</w:t>
        </w:r>
      </w:hyperlink>
    </w:p>
    <w:bookmarkEnd w:id="106"/>
    <w:bookmarkEnd w:id="1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2026-05-16T10:39:14Z</dcterms:created>
  <dcterms:modified xsi:type="dcterms:W3CDTF">2026-05-16T10:39:14Z</dcterms:modified>
</cp:coreProperties>
</file>

<file path=docProps/custom.xml><?xml version="1.0" encoding="utf-8"?>
<Properties xmlns="http://schemas.openxmlformats.org/officeDocument/2006/custom-properties" xmlns:vt="http://schemas.openxmlformats.org/officeDocument/2006/docPropsVTypes"/>
</file>